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color w:val="7030A0"/>
        </w:rPr>
        <w:id w:val="1396165826"/>
        <w:docPartObj>
          <w:docPartGallery w:val="Cover Pages"/>
          <w:docPartUnique/>
        </w:docPartObj>
      </w:sdtPr>
      <w:sdtEndPr/>
      <w:sdtContent>
        <w:p w:rsidR="0049164E" w:rsidRDefault="005C5414">
          <w:r>
            <w:rPr>
              <w:rFonts w:eastAsia="Candara" w:cs="Times New Roman"/>
              <w:noProof/>
              <w:lang w:eastAsia="fr-FR"/>
            </w:rPr>
            <w:drawing>
              <wp:anchor distT="0" distB="0" distL="114300" distR="114300" simplePos="0" relativeHeight="251662846" behindDoc="0" locked="0" layoutInCell="1" allowOverlap="1" wp14:anchorId="6316E475" wp14:editId="00473AB1">
                <wp:simplePos x="0" y="0"/>
                <wp:positionH relativeFrom="column">
                  <wp:posOffset>4646930</wp:posOffset>
                </wp:positionH>
                <wp:positionV relativeFrom="paragraph">
                  <wp:posOffset>-104887</wp:posOffset>
                </wp:positionV>
                <wp:extent cx="1998133" cy="914400"/>
                <wp:effectExtent l="0" t="0" r="254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H log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98133" cy="914400"/>
                        </a:xfrm>
                        <a:prstGeom prst="rect">
                          <a:avLst/>
                        </a:prstGeom>
                      </pic:spPr>
                    </pic:pic>
                  </a:graphicData>
                </a:graphic>
                <wp14:sizeRelH relativeFrom="page">
                  <wp14:pctWidth>0</wp14:pctWidth>
                </wp14:sizeRelH>
                <wp14:sizeRelV relativeFrom="page">
                  <wp14:pctHeight>0</wp14:pctHeight>
                </wp14:sizeRelV>
              </wp:anchor>
            </w:drawing>
          </w:r>
          <w:r w:rsidRPr="00E00632">
            <w:rPr>
              <w:rFonts w:eastAsia="Candara" w:cs="Times New Roman"/>
              <w:noProof/>
              <w:lang w:eastAsia="fr-FR"/>
            </w:rPr>
            <mc:AlternateContent>
              <mc:Choice Requires="wps">
                <w:drawing>
                  <wp:anchor distT="0" distB="0" distL="114300" distR="114300" simplePos="0" relativeHeight="251660798" behindDoc="0" locked="0" layoutInCell="1" allowOverlap="1" wp14:anchorId="47A35824" wp14:editId="60792DA0">
                    <wp:simplePos x="0" y="0"/>
                    <wp:positionH relativeFrom="column">
                      <wp:posOffset>-1224392</wp:posOffset>
                    </wp:positionH>
                    <wp:positionV relativeFrom="paragraph">
                      <wp:posOffset>-1179195</wp:posOffset>
                    </wp:positionV>
                    <wp:extent cx="7873365" cy="11259185"/>
                    <wp:effectExtent l="0" t="0" r="13335" b="18415"/>
                    <wp:wrapNone/>
                    <wp:docPr id="26" name="Rectangle 4" descr="Zig za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73365" cy="11259185"/>
                            </a:xfrm>
                            <a:prstGeom prst="rect">
                              <a:avLst/>
                            </a:prstGeom>
                            <a:solidFill>
                              <a:srgbClr val="612C51"/>
                            </a:solidFill>
                            <a:ln w="12700">
                              <a:solidFill>
                                <a:srgbClr val="FFFFFF"/>
                              </a:solidFill>
                              <a:miter lim="800000"/>
                              <a:headEnd/>
                              <a:tailEnd/>
                            </a:ln>
                            <a:effectLs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 o:spid="_x0000_s1026" alt="Description : Zig zag" style="position:absolute;margin-left:-96.4pt;margin-top:-92.85pt;width:619.95pt;height:886.55pt;z-index:2516607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" fillcolor="#612c51" strokecolor="white" strokeweight="1pt"/>
                </w:pict>
              </mc:Fallback>
            </mc:AlternateContent>
          </w:r>
          <w:r w:rsidRPr="005C5414">
            <w:rPr>
              <w:noProof/>
              <w:lang w:eastAsia="fr-FR"/>
            </w:rPr>
            <w:t xml:space="preserve"> </w:t>
          </w:r>
          <w:r w:rsidRPr="005C5414">
            <w:rPr>
              <w:noProof/>
              <w:lang w:eastAsia="fr-FR"/>
            </w:rPr>
            <w:drawing>
              <wp:inline distT="0" distB="0" distL="0" distR="0" wp14:anchorId="23D84578" wp14:editId="3AEDC71D">
                <wp:extent cx="2808312" cy="1284774"/>
                <wp:effectExtent l="0" t="0" r="0" b="0"/>
                <wp:docPr id="1026" name="Picture 2" descr="C:\Users\VEA\Desktop\Charte graphique ATH 2015\Logo prune auberg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VEA\Desktop\Charte graphique ATH 2015\Logo prune aubergin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8312" cy="1284774"/>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00E00632">
            <w:rPr>
              <w:noProof/>
              <w:lang w:eastAsia="fr-FR"/>
            </w:rPr>
            <mc:AlternateContent>
              <mc:Choice Requires="wps">
                <w:drawing>
                  <wp:anchor distT="0" distB="0" distL="114300" distR="114300" simplePos="0" relativeHeight="251661822" behindDoc="0" locked="0" layoutInCell="1" allowOverlap="1" wp14:anchorId="4EFC780E" wp14:editId="469686BB">
                    <wp:simplePos x="0" y="0"/>
                    <wp:positionH relativeFrom="column">
                      <wp:posOffset>128905</wp:posOffset>
                    </wp:positionH>
                    <wp:positionV relativeFrom="paragraph">
                      <wp:posOffset>-366395</wp:posOffset>
                    </wp:positionV>
                    <wp:extent cx="6508750" cy="8871585"/>
                    <wp:effectExtent l="57150" t="38100" r="82550" b="120015"/>
                    <wp:wrapNone/>
                    <wp:docPr id="2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8750" cy="8871585"/>
                            </a:xfrm>
                            <a:prstGeom prst="rect">
                              <a:avLst/>
                            </a:prstGeom>
                            <a:solidFill>
                              <a:srgbClr val="C0B1D3"/>
                            </a:solidFill>
                            <a:ln>
                              <a:headEnd/>
                              <a:tailEnd/>
                            </a:ln>
                            <a:extLst/>
                          </wps:spPr>
                          <wps:style>
                            <a:lnRef idx="0">
                              <a:schemeClr val="accent2"/>
                            </a:lnRef>
                            <a:fillRef idx="3">
                              <a:schemeClr val="accent2"/>
                            </a:fillRef>
                            <a:effectRef idx="3">
                              <a:schemeClr val="accent2"/>
                            </a:effectRef>
                            <a:fontRef idx="minor">
                              <a:schemeClr val="lt1"/>
                            </a:fontRef>
                          </wps:style>
                          <wps:txbx>
                            <w:txbxContent>
                              <w:sdt>
                                <w:sdtPr>
                                  <w:rPr>
                                    <w:b/>
                                    <w:color w:val="612C51" w:themeColor="accent1"/>
                                    <w:sz w:val="80"/>
                                    <w:szCs w:val="80"/>
                                  </w:rPr>
                                  <w:alias w:val="Titre"/>
                                  <w:id w:val="470865081"/>
                                  <w:dataBinding w:prefixMappings="xmlns:ns0='http://schemas.openxmlformats.org/package/2006/metadata/core-properties' xmlns:ns1='http://purl.org/dc/elements/1.1/'" w:xpath="/ns0:coreProperties[1]/ns1:title[1]" w:storeItemID="{6C3C8BC8-F283-45AE-878A-BAB7291924A1}"/>
                                  <w:text/>
                                </w:sdtPr>
                                <w:sdtEndPr/>
                                <w:sdtContent>
                                  <w:p w:rsidR="007E0487" w:rsidRPr="00DA2B39" w:rsidRDefault="007E0487">
                                    <w:pPr>
                                      <w:pStyle w:val="Sansinterligne"/>
                                      <w:rPr>
                                        <w:b/>
                                        <w:color w:val="612C51" w:themeColor="accent1"/>
                                        <w:sz w:val="80"/>
                                        <w:szCs w:val="80"/>
                                      </w:rPr>
                                    </w:pPr>
                                    <w:r w:rsidRPr="00DA2B39">
                                      <w:rPr>
                                        <w:b/>
                                        <w:color w:val="612C51" w:themeColor="accent1"/>
                                        <w:sz w:val="80"/>
                                        <w:szCs w:val="80"/>
                                      </w:rPr>
                                      <w:t xml:space="preserve">Chapitre </w:t>
                                    </w:r>
                                    <w:r w:rsidR="00165177">
                                      <w:rPr>
                                        <w:b/>
                                        <w:color w:val="612C51" w:themeColor="accent1"/>
                                        <w:sz w:val="80"/>
                                        <w:szCs w:val="80"/>
                                      </w:rPr>
                                      <w:t>2</w:t>
                                    </w:r>
                                    <w:r w:rsidR="00F072B9">
                                      <w:rPr>
                                        <w:b/>
                                        <w:color w:val="612C51" w:themeColor="accent1"/>
                                        <w:sz w:val="80"/>
                                        <w:szCs w:val="80"/>
                                      </w:rPr>
                                      <w:t>4</w:t>
                                    </w:r>
                                    <w:r w:rsidR="009B0114">
                                      <w:rPr>
                                        <w:b/>
                                        <w:color w:val="612C51" w:themeColor="accent1"/>
                                        <w:sz w:val="80"/>
                                        <w:szCs w:val="80"/>
                                      </w:rPr>
                                      <w:t>20</w:t>
                                    </w:r>
                                  </w:p>
                                </w:sdtContent>
                              </w:sdt>
                              <w:p w:rsidR="00EB04D7" w:rsidRDefault="00F072B9">
                                <w:pPr>
                                  <w:pStyle w:val="Sansinterligne"/>
                                  <w:rPr>
                                    <w:color w:val="612C51" w:themeColor="accent1"/>
                                    <w:sz w:val="52"/>
                                    <w:szCs w:val="40"/>
                                  </w:rPr>
                                </w:pPr>
                                <w:r w:rsidRPr="00F072B9">
                                  <w:rPr>
                                    <w:color w:val="612C51" w:themeColor="accent1"/>
                                    <w:sz w:val="52"/>
                                    <w:szCs w:val="40"/>
                                  </w:rPr>
                                  <w:t>Spécificités</w:t>
                                </w:r>
                                <w:bookmarkStart w:id="0" w:name="_GoBack"/>
                                <w:bookmarkEnd w:id="0"/>
                                <w:r w:rsidRPr="00F072B9">
                                  <w:rPr>
                                    <w:color w:val="612C51" w:themeColor="accent1"/>
                                    <w:sz w:val="52"/>
                                    <w:szCs w:val="40"/>
                                  </w:rPr>
                                  <w:t xml:space="preserve"> des sociétés cotées</w:t>
                                </w:r>
                              </w:p>
                              <w:p w:rsidR="007E0487" w:rsidRPr="00DA2B39" w:rsidRDefault="0031724C">
                                <w:pPr>
                                  <w:pStyle w:val="Sansinterligne"/>
                                  <w:rPr>
                                    <w:color w:val="612C51" w:themeColor="accent1"/>
                                    <w:sz w:val="40"/>
                                  </w:rPr>
                                </w:pPr>
                                <w:sdt>
                                  <w:sdtPr>
                                    <w:rPr>
                                      <w:b/>
                                      <w:color w:val="612C51" w:themeColor="accent1"/>
                                      <w:sz w:val="40"/>
                                    </w:rPr>
                                    <w:alias w:val="Résumé"/>
                                    <w:id w:val="-1355501008"/>
                                    <w:dataBinding w:prefixMappings="xmlns:ns0='http://schemas.microsoft.com/office/2006/coverPageProps'" w:xpath="/ns0:CoverPageProperties[1]/ns0:Abstract[1]" w:storeItemID="{55AF091B-3C7A-41E3-B477-F2FDAA23CFDA}"/>
                                    <w:text/>
                                  </w:sdtPr>
                                  <w:sdtEndPr/>
                                  <w:sdtContent>
                                    <w:r w:rsidR="009B0114" w:rsidRPr="009B0114">
                                      <w:rPr>
                                        <w:b/>
                                        <w:color w:val="612C51" w:themeColor="accent1"/>
                                        <w:sz w:val="40"/>
                                      </w:rPr>
                                      <w:t>Marché Alternext</w:t>
                                    </w:r>
                                  </w:sdtContent>
                                </w:sdt>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822370" w:rsidRDefault="00822370">
                                <w:pPr>
                                  <w:pStyle w:val="Sansinterligne"/>
                                  <w:rPr>
                                    <w:noProof/>
                                    <w:color w:val="612C51" w:themeColor="accent1"/>
                                    <w:sz w:val="20"/>
                                    <w:szCs w:val="20"/>
                                    <w:lang w:eastAsia="fr-FR"/>
                                  </w:rPr>
                                </w:pPr>
                              </w:p>
                              <w:p w:rsidR="00AB6EEF" w:rsidRDefault="00AB6EEF">
                                <w:pPr>
                                  <w:pStyle w:val="Sansinterligne"/>
                                  <w:rPr>
                                    <w:noProof/>
                                    <w:color w:val="612C51" w:themeColor="accent1"/>
                                    <w:sz w:val="20"/>
                                    <w:szCs w:val="20"/>
                                    <w:lang w:eastAsia="fr-FR"/>
                                  </w:rPr>
                                </w:pPr>
                              </w:p>
                              <w:p w:rsidR="00EE5E04" w:rsidRDefault="00EE5E04">
                                <w:pPr>
                                  <w:pStyle w:val="Sansinterligne"/>
                                  <w:rPr>
                                    <w:noProof/>
                                    <w:color w:val="612C51" w:themeColor="accent1"/>
                                    <w:sz w:val="20"/>
                                    <w:szCs w:val="20"/>
                                    <w:lang w:eastAsia="fr-FR"/>
                                  </w:rPr>
                                </w:pPr>
                              </w:p>
                              <w:p w:rsidR="00AB6EEF" w:rsidRPr="00DA2B39" w:rsidRDefault="00AB6EEF">
                                <w:pPr>
                                  <w:pStyle w:val="Sansinterligne"/>
                                  <w:rPr>
                                    <w:noProof/>
                                    <w:color w:val="612C51" w:themeColor="accent1"/>
                                    <w:sz w:val="20"/>
                                    <w:szCs w:val="20"/>
                                    <w:lang w:eastAsia="fr-FR"/>
                                  </w:rPr>
                                </w:pPr>
                              </w:p>
                              <w:p w:rsidR="00822370" w:rsidRPr="00DA2B39" w:rsidRDefault="00822370">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rsidP="005C5414">
                                <w:pPr>
                                  <w:pStyle w:val="Sansinterligne"/>
                                  <w:jc w:val="right"/>
                                  <w:rPr>
                                    <w:color w:val="612C51" w:themeColor="accent1"/>
                                  </w:rPr>
                                </w:pPr>
                                <w:r w:rsidRPr="00DA2B39">
                                  <w:rPr>
                                    <w:noProof/>
                                    <w:color w:val="612C51" w:themeColor="accent1"/>
                                    <w:lang w:eastAsia="fr-FR"/>
                                  </w:rPr>
                                  <w:drawing>
                                    <wp:inline distT="0" distB="0" distL="0" distR="0" wp14:anchorId="4E4859ED" wp14:editId="48AEA958">
                                      <wp:extent cx="3537020" cy="2738466"/>
                                      <wp:effectExtent l="0" t="0" r="6350" b="508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68001" cy="2762452"/>
                                              </a:xfrm>
                                              <a:prstGeom prst="rect">
                                                <a:avLst/>
                                              </a:prstGeom>
                                              <a:ln>
                                                <a:noFill/>
                                              </a:ln>
                                              <a:effectLst>
                                                <a:softEdge rad="112500"/>
                                              </a:effectLst>
                                            </pic:spPr>
                                          </pic:pic>
                                        </a:graphicData>
                                      </a:graphic>
                                    </wp:inline>
                                  </w:drawing>
                                </w:r>
                              </w:p>
                            </w:txbxContent>
                          </wps:txbx>
                          <wps:bodyPr rot="0" vert="horz" wrap="square" lIns="228600" tIns="1371600" rIns="45720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left:0;text-align:left;margin-left:10.15pt;margin-top:-28.85pt;width:512.5pt;height:698.55pt;z-index:2516618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" fillcolor="#c0b1d3" stroked="f">
                    <v:shadow on="t" color="black" opacity="22937f" origin=",.5" offset="0,.63889mm"/>
                    <v:textbox inset="18pt,108pt,36pt">
                      <w:txbxContent>
                        <w:sdt>
                          <w:sdtPr>
                            <w:rPr>
                              <w:b/>
                              <w:color w:val="612C51" w:themeColor="accent1"/>
                              <w:sz w:val="80"/>
                              <w:szCs w:val="80"/>
                            </w:rPr>
                            <w:alias w:val="Titre"/>
                            <w:id w:val="470865081"/>
                            <w:dataBinding w:prefixMappings="xmlns:ns0='http://schemas.openxmlformats.org/package/2006/metadata/core-properties' xmlns:ns1='http://purl.org/dc/elements/1.1/'" w:xpath="/ns0:coreProperties[1]/ns1:title[1]" w:storeItemID="{6C3C8BC8-F283-45AE-878A-BAB7291924A1}"/>
                            <w:text/>
                          </w:sdtPr>
                          <w:sdtEndPr/>
                          <w:sdtContent>
                            <w:p w:rsidR="007E0487" w:rsidRPr="00DA2B39" w:rsidRDefault="007E0487">
                              <w:pPr>
                                <w:pStyle w:val="Sansinterligne"/>
                                <w:rPr>
                                  <w:b/>
                                  <w:color w:val="612C51" w:themeColor="accent1"/>
                                  <w:sz w:val="80"/>
                                  <w:szCs w:val="80"/>
                                </w:rPr>
                              </w:pPr>
                              <w:r w:rsidRPr="00DA2B39">
                                <w:rPr>
                                  <w:b/>
                                  <w:color w:val="612C51" w:themeColor="accent1"/>
                                  <w:sz w:val="80"/>
                                  <w:szCs w:val="80"/>
                                </w:rPr>
                                <w:t xml:space="preserve">Chapitre </w:t>
                              </w:r>
                              <w:r w:rsidR="00165177">
                                <w:rPr>
                                  <w:b/>
                                  <w:color w:val="612C51" w:themeColor="accent1"/>
                                  <w:sz w:val="80"/>
                                  <w:szCs w:val="80"/>
                                </w:rPr>
                                <w:t>2</w:t>
                              </w:r>
                              <w:r w:rsidR="00F072B9">
                                <w:rPr>
                                  <w:b/>
                                  <w:color w:val="612C51" w:themeColor="accent1"/>
                                  <w:sz w:val="80"/>
                                  <w:szCs w:val="80"/>
                                </w:rPr>
                                <w:t>4</w:t>
                              </w:r>
                              <w:r w:rsidR="009B0114">
                                <w:rPr>
                                  <w:b/>
                                  <w:color w:val="612C51" w:themeColor="accent1"/>
                                  <w:sz w:val="80"/>
                                  <w:szCs w:val="80"/>
                                </w:rPr>
                                <w:t>20</w:t>
                              </w:r>
                            </w:p>
                          </w:sdtContent>
                        </w:sdt>
                        <w:p w:rsidR="00EB04D7" w:rsidRDefault="00F072B9">
                          <w:pPr>
                            <w:pStyle w:val="Sansinterligne"/>
                            <w:rPr>
                              <w:color w:val="612C51" w:themeColor="accent1"/>
                              <w:sz w:val="52"/>
                              <w:szCs w:val="40"/>
                            </w:rPr>
                          </w:pPr>
                          <w:r w:rsidRPr="00F072B9">
                            <w:rPr>
                              <w:color w:val="612C51" w:themeColor="accent1"/>
                              <w:sz w:val="52"/>
                              <w:szCs w:val="40"/>
                            </w:rPr>
                            <w:t>Spécificités</w:t>
                          </w:r>
                          <w:bookmarkStart w:id="1" w:name="_GoBack"/>
                          <w:bookmarkEnd w:id="1"/>
                          <w:r w:rsidRPr="00F072B9">
                            <w:rPr>
                              <w:color w:val="612C51" w:themeColor="accent1"/>
                              <w:sz w:val="52"/>
                              <w:szCs w:val="40"/>
                            </w:rPr>
                            <w:t xml:space="preserve"> des sociétés cotées</w:t>
                          </w:r>
                        </w:p>
                        <w:p w:rsidR="007E0487" w:rsidRPr="00DA2B39" w:rsidRDefault="0031724C">
                          <w:pPr>
                            <w:pStyle w:val="Sansinterligne"/>
                            <w:rPr>
                              <w:color w:val="612C51" w:themeColor="accent1"/>
                              <w:sz w:val="40"/>
                            </w:rPr>
                          </w:pPr>
                          <w:sdt>
                            <w:sdtPr>
                              <w:rPr>
                                <w:b/>
                                <w:color w:val="612C51" w:themeColor="accent1"/>
                                <w:sz w:val="40"/>
                              </w:rPr>
                              <w:alias w:val="Résumé"/>
                              <w:id w:val="-1355501008"/>
                              <w:dataBinding w:prefixMappings="xmlns:ns0='http://schemas.microsoft.com/office/2006/coverPageProps'" w:xpath="/ns0:CoverPageProperties[1]/ns0:Abstract[1]" w:storeItemID="{55AF091B-3C7A-41E3-B477-F2FDAA23CFDA}"/>
                              <w:text/>
                            </w:sdtPr>
                            <w:sdtEndPr/>
                            <w:sdtContent>
                              <w:r w:rsidR="009B0114" w:rsidRPr="009B0114">
                                <w:rPr>
                                  <w:b/>
                                  <w:color w:val="612C51" w:themeColor="accent1"/>
                                  <w:sz w:val="40"/>
                                </w:rPr>
                                <w:t>Marché Alternext</w:t>
                              </w:r>
                            </w:sdtContent>
                          </w:sdt>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822370" w:rsidRDefault="00822370">
                          <w:pPr>
                            <w:pStyle w:val="Sansinterligne"/>
                            <w:rPr>
                              <w:noProof/>
                              <w:color w:val="612C51" w:themeColor="accent1"/>
                              <w:sz w:val="20"/>
                              <w:szCs w:val="20"/>
                              <w:lang w:eastAsia="fr-FR"/>
                            </w:rPr>
                          </w:pPr>
                        </w:p>
                        <w:p w:rsidR="00AB6EEF" w:rsidRDefault="00AB6EEF">
                          <w:pPr>
                            <w:pStyle w:val="Sansinterligne"/>
                            <w:rPr>
                              <w:noProof/>
                              <w:color w:val="612C51" w:themeColor="accent1"/>
                              <w:sz w:val="20"/>
                              <w:szCs w:val="20"/>
                              <w:lang w:eastAsia="fr-FR"/>
                            </w:rPr>
                          </w:pPr>
                        </w:p>
                        <w:p w:rsidR="00EE5E04" w:rsidRDefault="00EE5E04">
                          <w:pPr>
                            <w:pStyle w:val="Sansinterligne"/>
                            <w:rPr>
                              <w:noProof/>
                              <w:color w:val="612C51" w:themeColor="accent1"/>
                              <w:sz w:val="20"/>
                              <w:szCs w:val="20"/>
                              <w:lang w:eastAsia="fr-FR"/>
                            </w:rPr>
                          </w:pPr>
                        </w:p>
                        <w:p w:rsidR="00AB6EEF" w:rsidRPr="00DA2B39" w:rsidRDefault="00AB6EEF">
                          <w:pPr>
                            <w:pStyle w:val="Sansinterligne"/>
                            <w:rPr>
                              <w:noProof/>
                              <w:color w:val="612C51" w:themeColor="accent1"/>
                              <w:sz w:val="20"/>
                              <w:szCs w:val="20"/>
                              <w:lang w:eastAsia="fr-FR"/>
                            </w:rPr>
                          </w:pPr>
                        </w:p>
                        <w:p w:rsidR="00822370" w:rsidRPr="00DA2B39" w:rsidRDefault="00822370">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5C5414" w:rsidRPr="00DA2B39" w:rsidRDefault="005C5414">
                          <w:pPr>
                            <w:pStyle w:val="Sansinterligne"/>
                            <w:rPr>
                              <w:noProof/>
                              <w:color w:val="612C51" w:themeColor="accent1"/>
                              <w:sz w:val="20"/>
                              <w:szCs w:val="20"/>
                              <w:lang w:eastAsia="fr-FR"/>
                            </w:rPr>
                          </w:pPr>
                        </w:p>
                        <w:p w:rsidR="007E0487" w:rsidRPr="00DA2B39" w:rsidRDefault="007E0487">
                          <w:pPr>
                            <w:pStyle w:val="Sansinterligne"/>
                            <w:rPr>
                              <w:noProof/>
                              <w:color w:val="612C51" w:themeColor="accent1"/>
                              <w:sz w:val="20"/>
                              <w:szCs w:val="20"/>
                              <w:lang w:eastAsia="fr-FR"/>
                            </w:rPr>
                          </w:pPr>
                        </w:p>
                        <w:p w:rsidR="007E0487" w:rsidRPr="00DA2B39" w:rsidRDefault="007E0487" w:rsidP="005C5414">
                          <w:pPr>
                            <w:pStyle w:val="Sansinterligne"/>
                            <w:jc w:val="right"/>
                            <w:rPr>
                              <w:color w:val="612C51" w:themeColor="accent1"/>
                            </w:rPr>
                          </w:pPr>
                          <w:r w:rsidRPr="00DA2B39">
                            <w:rPr>
                              <w:noProof/>
                              <w:color w:val="612C51" w:themeColor="accent1"/>
                              <w:lang w:eastAsia="fr-FR"/>
                            </w:rPr>
                            <w:drawing>
                              <wp:inline distT="0" distB="0" distL="0" distR="0" wp14:anchorId="4E4859ED" wp14:editId="48AEA958">
                                <wp:extent cx="3537020" cy="2738466"/>
                                <wp:effectExtent l="0" t="0" r="6350" b="508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68001" cy="2762452"/>
                                        </a:xfrm>
                                        <a:prstGeom prst="rect">
                                          <a:avLst/>
                                        </a:prstGeom>
                                        <a:ln>
                                          <a:noFill/>
                                        </a:ln>
                                        <a:effectLst>
                                          <a:softEdge rad="112500"/>
                                        </a:effectLst>
                                      </pic:spPr>
                                    </pic:pic>
                                  </a:graphicData>
                                </a:graphic>
                              </wp:inline>
                            </w:drawing>
                          </w:r>
                        </w:p>
                      </w:txbxContent>
                    </v:textbox>
                  </v:rect>
                </w:pict>
              </mc:Fallback>
            </mc:AlternateContent>
          </w:r>
        </w:p>
        <w:p w:rsidR="0049164E" w:rsidRDefault="0049164E"/>
        <w:p w:rsidR="0049164E" w:rsidRDefault="0049164E" w:rsidP="005C5414">
          <w:pPr>
            <w:pStyle w:val="CACTitre5"/>
            <w:rPr>
              <w:b/>
              <w:noProof/>
            </w:rPr>
          </w:pPr>
          <w:r>
            <w:br w:type="page"/>
          </w:r>
        </w:p>
      </w:sdtContent>
    </w:sdt>
    <w:p w:rsidR="00FA0079" w:rsidRDefault="00FA0079" w:rsidP="003C0504">
      <w:pPr>
        <w:pStyle w:val="CACCorps"/>
      </w:pPr>
    </w:p>
    <w:p w:rsidR="009B0114" w:rsidRDefault="009B0114">
      <w:pPr>
        <w:pStyle w:val="TM1"/>
        <w:rPr>
          <w:rFonts w:eastAsiaTheme="minorEastAsia"/>
          <w:b w:val="0"/>
          <w:color w:val="auto"/>
          <w:sz w:val="22"/>
          <w:lang w:eastAsia="fr-FR"/>
        </w:rPr>
      </w:pPr>
      <w:r>
        <w:rPr>
          <w:rFonts w:asciiTheme="majorHAnsi" w:eastAsiaTheme="majorEastAsia" w:hAnsiTheme="majorHAnsi" w:cstheme="majorBidi"/>
          <w:bCs/>
          <w:color w:val="FF0000"/>
          <w:sz w:val="28"/>
          <w:szCs w:val="28"/>
        </w:rPr>
        <w:fldChar w:fldCharType="begin"/>
      </w:r>
      <w:r>
        <w:rPr>
          <w:rFonts w:asciiTheme="majorHAnsi" w:eastAsiaTheme="majorEastAsia" w:hAnsiTheme="majorHAnsi" w:cstheme="majorBidi"/>
          <w:bCs/>
          <w:sz w:val="28"/>
          <w:szCs w:val="28"/>
        </w:rPr>
        <w:instrText xml:space="preserve"> TOC \o "2-3" \h \z \t "Titre 1;1;CAC.Titre 1;1;CAC.Titre 2;2;CAC.Titre 3;3;Style1;1;Style2;1" </w:instrText>
      </w:r>
      <w:r>
        <w:rPr>
          <w:rFonts w:asciiTheme="majorHAnsi" w:eastAsiaTheme="majorEastAsia" w:hAnsiTheme="majorHAnsi" w:cstheme="majorBidi"/>
          <w:bCs/>
          <w:color w:val="FF0000"/>
          <w:sz w:val="28"/>
          <w:szCs w:val="28"/>
        </w:rPr>
        <w:fldChar w:fldCharType="separate"/>
      </w:r>
      <w:hyperlink w:anchor="_Toc452390467" w:history="1">
        <w:r w:rsidRPr="0043213C">
          <w:rPr>
            <w:rStyle w:val="Lienhypertexte"/>
          </w:rPr>
          <w:t>Section 100.</w:t>
        </w:r>
        <w:r>
          <w:rPr>
            <w:rFonts w:eastAsiaTheme="minorEastAsia"/>
            <w:b w:val="0"/>
            <w:color w:val="auto"/>
            <w:sz w:val="22"/>
            <w:lang w:eastAsia="fr-FR"/>
          </w:rPr>
          <w:tab/>
        </w:r>
        <w:r w:rsidRPr="0043213C">
          <w:rPr>
            <w:rStyle w:val="Lienhypertexte"/>
          </w:rPr>
          <w:t>Présentation des différents marchés de cotation français</w:t>
        </w:r>
        <w:r>
          <w:rPr>
            <w:webHidden/>
          </w:rPr>
          <w:tab/>
        </w:r>
        <w:r>
          <w:rPr>
            <w:webHidden/>
          </w:rPr>
          <w:fldChar w:fldCharType="begin"/>
        </w:r>
        <w:r>
          <w:rPr>
            <w:webHidden/>
          </w:rPr>
          <w:instrText xml:space="preserve"> PAGEREF _Toc452390467 \h </w:instrText>
        </w:r>
        <w:r>
          <w:rPr>
            <w:webHidden/>
          </w:rPr>
        </w:r>
        <w:r>
          <w:rPr>
            <w:webHidden/>
          </w:rPr>
          <w:fldChar w:fldCharType="separate"/>
        </w:r>
        <w:r>
          <w:rPr>
            <w:webHidden/>
          </w:rPr>
          <w:t>3</w:t>
        </w:r>
        <w:r>
          <w:rPr>
            <w:webHidden/>
          </w:rPr>
          <w:fldChar w:fldCharType="end"/>
        </w:r>
      </w:hyperlink>
    </w:p>
    <w:p w:rsidR="009B0114" w:rsidRDefault="0031724C">
      <w:pPr>
        <w:pStyle w:val="TM1"/>
        <w:rPr>
          <w:rFonts w:eastAsiaTheme="minorEastAsia"/>
          <w:b w:val="0"/>
          <w:color w:val="auto"/>
          <w:sz w:val="22"/>
          <w:lang w:eastAsia="fr-FR"/>
        </w:rPr>
      </w:pPr>
      <w:hyperlink w:anchor="_Toc452390468" w:history="1">
        <w:r w:rsidR="009B0114" w:rsidRPr="0043213C">
          <w:rPr>
            <w:rStyle w:val="Lienhypertexte"/>
          </w:rPr>
          <w:t>Section 200.</w:t>
        </w:r>
        <w:r w:rsidR="009B0114">
          <w:rPr>
            <w:rFonts w:eastAsiaTheme="minorEastAsia"/>
            <w:b w:val="0"/>
            <w:color w:val="auto"/>
            <w:sz w:val="22"/>
            <w:lang w:eastAsia="fr-FR"/>
          </w:rPr>
          <w:tab/>
        </w:r>
        <w:r w:rsidR="009B0114" w:rsidRPr="0043213C">
          <w:rPr>
            <w:rStyle w:val="Lienhypertexte"/>
          </w:rPr>
          <w:t>Principales caractéristiques du marché organisé, Alternext</w:t>
        </w:r>
        <w:r w:rsidR="009B0114">
          <w:rPr>
            <w:webHidden/>
          </w:rPr>
          <w:tab/>
        </w:r>
        <w:r w:rsidR="009B0114">
          <w:rPr>
            <w:webHidden/>
          </w:rPr>
          <w:fldChar w:fldCharType="begin"/>
        </w:r>
        <w:r w:rsidR="009B0114">
          <w:rPr>
            <w:webHidden/>
          </w:rPr>
          <w:instrText xml:space="preserve"> PAGEREF _Toc452390468 \h </w:instrText>
        </w:r>
        <w:r w:rsidR="009B0114">
          <w:rPr>
            <w:webHidden/>
          </w:rPr>
        </w:r>
        <w:r w:rsidR="009B0114">
          <w:rPr>
            <w:webHidden/>
          </w:rPr>
          <w:fldChar w:fldCharType="separate"/>
        </w:r>
        <w:r w:rsidR="009B0114">
          <w:rPr>
            <w:webHidden/>
          </w:rPr>
          <w:t>3</w:t>
        </w:r>
        <w:r w:rsidR="009B0114">
          <w:rPr>
            <w:webHidden/>
          </w:rPr>
          <w:fldChar w:fldCharType="end"/>
        </w:r>
      </w:hyperlink>
    </w:p>
    <w:p w:rsidR="009B0114" w:rsidRDefault="0031724C">
      <w:pPr>
        <w:pStyle w:val="TM2"/>
        <w:tabs>
          <w:tab w:val="left" w:pos="660"/>
          <w:tab w:val="right" w:leader="dot" w:pos="9060"/>
        </w:tabs>
        <w:rPr>
          <w:rFonts w:asciiTheme="minorHAnsi" w:eastAsiaTheme="minorEastAsia" w:hAnsiTheme="minorHAnsi"/>
          <w:noProof/>
          <w:lang w:eastAsia="fr-FR"/>
        </w:rPr>
      </w:pPr>
      <w:hyperlink w:anchor="_Toc452390469" w:history="1">
        <w:r w:rsidR="009B0114" w:rsidRPr="0043213C">
          <w:rPr>
            <w:rStyle w:val="Lienhypertexte"/>
            <w:noProof/>
          </w:rPr>
          <w:t>1.</w:t>
        </w:r>
        <w:r w:rsidR="009B0114">
          <w:rPr>
            <w:rFonts w:asciiTheme="minorHAnsi" w:eastAsiaTheme="minorEastAsia" w:hAnsiTheme="minorHAnsi"/>
            <w:noProof/>
            <w:lang w:eastAsia="fr-FR"/>
          </w:rPr>
          <w:tab/>
        </w:r>
        <w:r w:rsidR="009B0114" w:rsidRPr="0043213C">
          <w:rPr>
            <w:rStyle w:val="Lienhypertexte"/>
            <w:noProof/>
          </w:rPr>
          <w:t>PRESENTATION D’ALTERNEXT</w:t>
        </w:r>
        <w:r w:rsidR="009B0114">
          <w:rPr>
            <w:noProof/>
            <w:webHidden/>
          </w:rPr>
          <w:tab/>
        </w:r>
        <w:r w:rsidR="009B0114">
          <w:rPr>
            <w:noProof/>
            <w:webHidden/>
          </w:rPr>
          <w:fldChar w:fldCharType="begin"/>
        </w:r>
        <w:r w:rsidR="009B0114">
          <w:rPr>
            <w:noProof/>
            <w:webHidden/>
          </w:rPr>
          <w:instrText xml:space="preserve"> PAGEREF _Toc452390469 \h </w:instrText>
        </w:r>
        <w:r w:rsidR="009B0114">
          <w:rPr>
            <w:noProof/>
            <w:webHidden/>
          </w:rPr>
        </w:r>
        <w:r w:rsidR="009B0114">
          <w:rPr>
            <w:noProof/>
            <w:webHidden/>
          </w:rPr>
          <w:fldChar w:fldCharType="separate"/>
        </w:r>
        <w:r w:rsidR="009B0114">
          <w:rPr>
            <w:noProof/>
            <w:webHidden/>
          </w:rPr>
          <w:t>3</w:t>
        </w:r>
        <w:r w:rsidR="009B0114">
          <w:rPr>
            <w:noProof/>
            <w:webHidden/>
          </w:rPr>
          <w:fldChar w:fldCharType="end"/>
        </w:r>
      </w:hyperlink>
    </w:p>
    <w:p w:rsidR="009B0114" w:rsidRDefault="0031724C">
      <w:pPr>
        <w:pStyle w:val="TM2"/>
        <w:tabs>
          <w:tab w:val="left" w:pos="660"/>
          <w:tab w:val="right" w:leader="dot" w:pos="9060"/>
        </w:tabs>
        <w:rPr>
          <w:rFonts w:asciiTheme="minorHAnsi" w:eastAsiaTheme="minorEastAsia" w:hAnsiTheme="minorHAnsi"/>
          <w:noProof/>
          <w:lang w:eastAsia="fr-FR"/>
        </w:rPr>
      </w:pPr>
      <w:hyperlink w:anchor="_Toc452390470" w:history="1">
        <w:r w:rsidR="009B0114" w:rsidRPr="0043213C">
          <w:rPr>
            <w:rStyle w:val="Lienhypertexte"/>
            <w:noProof/>
          </w:rPr>
          <w:t>2.</w:t>
        </w:r>
        <w:r w:rsidR="009B0114">
          <w:rPr>
            <w:rFonts w:asciiTheme="minorHAnsi" w:eastAsiaTheme="minorEastAsia" w:hAnsiTheme="minorHAnsi"/>
            <w:noProof/>
            <w:lang w:eastAsia="fr-FR"/>
          </w:rPr>
          <w:tab/>
        </w:r>
        <w:r w:rsidR="009B0114" w:rsidRPr="0043213C">
          <w:rPr>
            <w:rStyle w:val="Lienhypertexte"/>
            <w:noProof/>
          </w:rPr>
          <w:t>OFFRE AU PUBLIC</w:t>
        </w:r>
        <w:r w:rsidR="009B0114">
          <w:rPr>
            <w:noProof/>
            <w:webHidden/>
          </w:rPr>
          <w:tab/>
        </w:r>
        <w:r w:rsidR="009B0114">
          <w:rPr>
            <w:noProof/>
            <w:webHidden/>
          </w:rPr>
          <w:fldChar w:fldCharType="begin"/>
        </w:r>
        <w:r w:rsidR="009B0114">
          <w:rPr>
            <w:noProof/>
            <w:webHidden/>
          </w:rPr>
          <w:instrText xml:space="preserve"> PAGEREF _Toc452390470 \h </w:instrText>
        </w:r>
        <w:r w:rsidR="009B0114">
          <w:rPr>
            <w:noProof/>
            <w:webHidden/>
          </w:rPr>
        </w:r>
        <w:r w:rsidR="009B0114">
          <w:rPr>
            <w:noProof/>
            <w:webHidden/>
          </w:rPr>
          <w:fldChar w:fldCharType="separate"/>
        </w:r>
        <w:r w:rsidR="009B0114">
          <w:rPr>
            <w:noProof/>
            <w:webHidden/>
          </w:rPr>
          <w:t>4</w:t>
        </w:r>
        <w:r w:rsidR="009B0114">
          <w:rPr>
            <w:noProof/>
            <w:webHidden/>
          </w:rPr>
          <w:fldChar w:fldCharType="end"/>
        </w:r>
      </w:hyperlink>
    </w:p>
    <w:p w:rsidR="009B0114" w:rsidRDefault="0031724C">
      <w:pPr>
        <w:pStyle w:val="TM3"/>
        <w:tabs>
          <w:tab w:val="left" w:pos="1100"/>
          <w:tab w:val="right" w:leader="dot" w:pos="9060"/>
        </w:tabs>
        <w:rPr>
          <w:rFonts w:asciiTheme="minorHAnsi" w:eastAsiaTheme="minorEastAsia" w:hAnsiTheme="minorHAnsi"/>
          <w:noProof/>
          <w:lang w:eastAsia="fr-FR"/>
        </w:rPr>
      </w:pPr>
      <w:hyperlink w:anchor="_Toc452390471" w:history="1">
        <w:r w:rsidR="009B0114" w:rsidRPr="0043213C">
          <w:rPr>
            <w:rStyle w:val="Lienhypertexte"/>
            <w:noProof/>
          </w:rPr>
          <w:t>2.1.</w:t>
        </w:r>
        <w:r w:rsidR="009B0114">
          <w:rPr>
            <w:rFonts w:asciiTheme="minorHAnsi" w:eastAsiaTheme="minorEastAsia" w:hAnsiTheme="minorHAnsi"/>
            <w:noProof/>
            <w:lang w:eastAsia="fr-FR"/>
          </w:rPr>
          <w:tab/>
        </w:r>
        <w:r w:rsidR="009B0114" w:rsidRPr="0043213C">
          <w:rPr>
            <w:rStyle w:val="Lienhypertexte"/>
            <w:noProof/>
          </w:rPr>
          <w:t>Définition de l’offre au public</w:t>
        </w:r>
        <w:r w:rsidR="009B0114">
          <w:rPr>
            <w:noProof/>
            <w:webHidden/>
          </w:rPr>
          <w:tab/>
        </w:r>
        <w:r w:rsidR="009B0114">
          <w:rPr>
            <w:noProof/>
            <w:webHidden/>
          </w:rPr>
          <w:fldChar w:fldCharType="begin"/>
        </w:r>
        <w:r w:rsidR="009B0114">
          <w:rPr>
            <w:noProof/>
            <w:webHidden/>
          </w:rPr>
          <w:instrText xml:space="preserve"> PAGEREF _Toc452390471 \h </w:instrText>
        </w:r>
        <w:r w:rsidR="009B0114">
          <w:rPr>
            <w:noProof/>
            <w:webHidden/>
          </w:rPr>
        </w:r>
        <w:r w:rsidR="009B0114">
          <w:rPr>
            <w:noProof/>
            <w:webHidden/>
          </w:rPr>
          <w:fldChar w:fldCharType="separate"/>
        </w:r>
        <w:r w:rsidR="009B0114">
          <w:rPr>
            <w:noProof/>
            <w:webHidden/>
          </w:rPr>
          <w:t>4</w:t>
        </w:r>
        <w:r w:rsidR="009B0114">
          <w:rPr>
            <w:noProof/>
            <w:webHidden/>
          </w:rPr>
          <w:fldChar w:fldCharType="end"/>
        </w:r>
      </w:hyperlink>
    </w:p>
    <w:p w:rsidR="009B0114" w:rsidRDefault="0031724C">
      <w:pPr>
        <w:pStyle w:val="TM3"/>
        <w:tabs>
          <w:tab w:val="left" w:pos="1100"/>
          <w:tab w:val="right" w:leader="dot" w:pos="9060"/>
        </w:tabs>
        <w:rPr>
          <w:rFonts w:asciiTheme="minorHAnsi" w:eastAsiaTheme="minorEastAsia" w:hAnsiTheme="minorHAnsi"/>
          <w:noProof/>
          <w:lang w:eastAsia="fr-FR"/>
        </w:rPr>
      </w:pPr>
      <w:hyperlink w:anchor="_Toc452390472" w:history="1">
        <w:r w:rsidR="009B0114" w:rsidRPr="0043213C">
          <w:rPr>
            <w:rStyle w:val="Lienhypertexte"/>
            <w:noProof/>
          </w:rPr>
          <w:t>2.2.</w:t>
        </w:r>
        <w:r w:rsidR="009B0114">
          <w:rPr>
            <w:rFonts w:asciiTheme="minorHAnsi" w:eastAsiaTheme="minorEastAsia" w:hAnsiTheme="minorHAnsi"/>
            <w:noProof/>
            <w:lang w:eastAsia="fr-FR"/>
          </w:rPr>
          <w:tab/>
        </w:r>
        <w:r w:rsidR="009B0114" w:rsidRPr="0043213C">
          <w:rPr>
            <w:rStyle w:val="Lienhypertexte"/>
            <w:noProof/>
          </w:rPr>
          <w:t>Intérêt de la distinction entre « offre au public » et « placement privé »</w:t>
        </w:r>
        <w:r w:rsidR="009B0114">
          <w:rPr>
            <w:noProof/>
            <w:webHidden/>
          </w:rPr>
          <w:tab/>
        </w:r>
        <w:r w:rsidR="009B0114">
          <w:rPr>
            <w:noProof/>
            <w:webHidden/>
          </w:rPr>
          <w:fldChar w:fldCharType="begin"/>
        </w:r>
        <w:r w:rsidR="009B0114">
          <w:rPr>
            <w:noProof/>
            <w:webHidden/>
          </w:rPr>
          <w:instrText xml:space="preserve"> PAGEREF _Toc452390472 \h </w:instrText>
        </w:r>
        <w:r w:rsidR="009B0114">
          <w:rPr>
            <w:noProof/>
            <w:webHidden/>
          </w:rPr>
        </w:r>
        <w:r w:rsidR="009B0114">
          <w:rPr>
            <w:noProof/>
            <w:webHidden/>
          </w:rPr>
          <w:fldChar w:fldCharType="separate"/>
        </w:r>
        <w:r w:rsidR="009B0114">
          <w:rPr>
            <w:noProof/>
            <w:webHidden/>
          </w:rPr>
          <w:t>4</w:t>
        </w:r>
        <w:r w:rsidR="009B0114">
          <w:rPr>
            <w:noProof/>
            <w:webHidden/>
          </w:rPr>
          <w:fldChar w:fldCharType="end"/>
        </w:r>
      </w:hyperlink>
    </w:p>
    <w:p w:rsidR="009B0114" w:rsidRDefault="0031724C">
      <w:pPr>
        <w:pStyle w:val="TM2"/>
        <w:tabs>
          <w:tab w:val="left" w:pos="660"/>
          <w:tab w:val="right" w:leader="dot" w:pos="9060"/>
        </w:tabs>
        <w:rPr>
          <w:rFonts w:asciiTheme="minorHAnsi" w:eastAsiaTheme="minorEastAsia" w:hAnsiTheme="minorHAnsi"/>
          <w:noProof/>
          <w:lang w:eastAsia="fr-FR"/>
        </w:rPr>
      </w:pPr>
      <w:hyperlink w:anchor="_Toc452390473" w:history="1">
        <w:r w:rsidR="009B0114" w:rsidRPr="0043213C">
          <w:rPr>
            <w:rStyle w:val="Lienhypertexte"/>
            <w:noProof/>
          </w:rPr>
          <w:t>3.</w:t>
        </w:r>
        <w:r w:rsidR="009B0114">
          <w:rPr>
            <w:rFonts w:asciiTheme="minorHAnsi" w:eastAsiaTheme="minorEastAsia" w:hAnsiTheme="minorHAnsi"/>
            <w:noProof/>
            <w:lang w:eastAsia="fr-FR"/>
          </w:rPr>
          <w:tab/>
        </w:r>
        <w:r w:rsidR="009B0114" w:rsidRPr="0043213C">
          <w:rPr>
            <w:rStyle w:val="Lienhypertexte"/>
            <w:noProof/>
          </w:rPr>
          <w:t>QUELQUES POINTS COMMUNS ENTRE LE MARCHE REGLEMENTE ET ALTERNEXT</w:t>
        </w:r>
        <w:r w:rsidR="009B0114">
          <w:rPr>
            <w:noProof/>
            <w:webHidden/>
          </w:rPr>
          <w:tab/>
        </w:r>
        <w:r w:rsidR="009B0114">
          <w:rPr>
            <w:noProof/>
            <w:webHidden/>
          </w:rPr>
          <w:fldChar w:fldCharType="begin"/>
        </w:r>
        <w:r w:rsidR="009B0114">
          <w:rPr>
            <w:noProof/>
            <w:webHidden/>
          </w:rPr>
          <w:instrText xml:space="preserve"> PAGEREF _Toc452390473 \h </w:instrText>
        </w:r>
        <w:r w:rsidR="009B0114">
          <w:rPr>
            <w:noProof/>
            <w:webHidden/>
          </w:rPr>
        </w:r>
        <w:r w:rsidR="009B0114">
          <w:rPr>
            <w:noProof/>
            <w:webHidden/>
          </w:rPr>
          <w:fldChar w:fldCharType="separate"/>
        </w:r>
        <w:r w:rsidR="009B0114">
          <w:rPr>
            <w:noProof/>
            <w:webHidden/>
          </w:rPr>
          <w:t>4</w:t>
        </w:r>
        <w:r w:rsidR="009B0114">
          <w:rPr>
            <w:noProof/>
            <w:webHidden/>
          </w:rPr>
          <w:fldChar w:fldCharType="end"/>
        </w:r>
      </w:hyperlink>
    </w:p>
    <w:p w:rsidR="009B0114" w:rsidRDefault="0031724C">
      <w:pPr>
        <w:pStyle w:val="TM3"/>
        <w:tabs>
          <w:tab w:val="left" w:pos="1100"/>
          <w:tab w:val="right" w:leader="dot" w:pos="9060"/>
        </w:tabs>
        <w:rPr>
          <w:rFonts w:asciiTheme="minorHAnsi" w:eastAsiaTheme="minorEastAsia" w:hAnsiTheme="minorHAnsi"/>
          <w:noProof/>
          <w:lang w:eastAsia="fr-FR"/>
        </w:rPr>
      </w:pPr>
      <w:hyperlink w:anchor="_Toc452390474" w:history="1">
        <w:r w:rsidR="009B0114" w:rsidRPr="0043213C">
          <w:rPr>
            <w:rStyle w:val="Lienhypertexte"/>
            <w:noProof/>
          </w:rPr>
          <w:t>3.1.</w:t>
        </w:r>
        <w:r w:rsidR="009B0114">
          <w:rPr>
            <w:rFonts w:asciiTheme="minorHAnsi" w:eastAsiaTheme="minorEastAsia" w:hAnsiTheme="minorHAnsi"/>
            <w:noProof/>
            <w:lang w:eastAsia="fr-FR"/>
          </w:rPr>
          <w:tab/>
        </w:r>
        <w:r w:rsidR="009B0114" w:rsidRPr="0043213C">
          <w:rPr>
            <w:rStyle w:val="Lienhypertexte"/>
            <w:noProof/>
          </w:rPr>
          <w:t>Les relations entre l’AMF et les commissaires aux comptes</w:t>
        </w:r>
        <w:r w:rsidR="009B0114">
          <w:rPr>
            <w:noProof/>
            <w:webHidden/>
          </w:rPr>
          <w:tab/>
        </w:r>
        <w:r w:rsidR="009B0114">
          <w:rPr>
            <w:noProof/>
            <w:webHidden/>
          </w:rPr>
          <w:fldChar w:fldCharType="begin"/>
        </w:r>
        <w:r w:rsidR="009B0114">
          <w:rPr>
            <w:noProof/>
            <w:webHidden/>
          </w:rPr>
          <w:instrText xml:space="preserve"> PAGEREF _Toc452390474 \h </w:instrText>
        </w:r>
        <w:r w:rsidR="009B0114">
          <w:rPr>
            <w:noProof/>
            <w:webHidden/>
          </w:rPr>
        </w:r>
        <w:r w:rsidR="009B0114">
          <w:rPr>
            <w:noProof/>
            <w:webHidden/>
          </w:rPr>
          <w:fldChar w:fldCharType="separate"/>
        </w:r>
        <w:r w:rsidR="009B0114">
          <w:rPr>
            <w:noProof/>
            <w:webHidden/>
          </w:rPr>
          <w:t>4</w:t>
        </w:r>
        <w:r w:rsidR="009B0114">
          <w:rPr>
            <w:noProof/>
            <w:webHidden/>
          </w:rPr>
          <w:fldChar w:fldCharType="end"/>
        </w:r>
      </w:hyperlink>
    </w:p>
    <w:p w:rsidR="009B0114" w:rsidRDefault="0031724C">
      <w:pPr>
        <w:pStyle w:val="TM3"/>
        <w:tabs>
          <w:tab w:val="left" w:pos="1100"/>
          <w:tab w:val="right" w:leader="dot" w:pos="9060"/>
        </w:tabs>
        <w:rPr>
          <w:rFonts w:asciiTheme="minorHAnsi" w:eastAsiaTheme="minorEastAsia" w:hAnsiTheme="minorHAnsi"/>
          <w:noProof/>
          <w:lang w:eastAsia="fr-FR"/>
        </w:rPr>
      </w:pPr>
      <w:hyperlink w:anchor="_Toc452390475" w:history="1">
        <w:r w:rsidR="009B0114" w:rsidRPr="0043213C">
          <w:rPr>
            <w:rStyle w:val="Lienhypertexte"/>
            <w:noProof/>
          </w:rPr>
          <w:t>3.2.</w:t>
        </w:r>
        <w:r w:rsidR="009B0114">
          <w:rPr>
            <w:rFonts w:asciiTheme="minorHAnsi" w:eastAsiaTheme="minorEastAsia" w:hAnsiTheme="minorHAnsi"/>
            <w:noProof/>
            <w:lang w:eastAsia="fr-FR"/>
          </w:rPr>
          <w:tab/>
        </w:r>
        <w:r w:rsidR="009B0114" w:rsidRPr="0043213C">
          <w:rPr>
            <w:rStyle w:val="Lienhypertexte"/>
            <w:noProof/>
          </w:rPr>
          <w:t>Déclaration des opérations des dirigeants sur les titres de leur société</w:t>
        </w:r>
        <w:r w:rsidR="009B0114">
          <w:rPr>
            <w:noProof/>
            <w:webHidden/>
          </w:rPr>
          <w:tab/>
        </w:r>
        <w:r w:rsidR="009B0114">
          <w:rPr>
            <w:noProof/>
            <w:webHidden/>
          </w:rPr>
          <w:fldChar w:fldCharType="begin"/>
        </w:r>
        <w:r w:rsidR="009B0114">
          <w:rPr>
            <w:noProof/>
            <w:webHidden/>
          </w:rPr>
          <w:instrText xml:space="preserve"> PAGEREF _Toc452390475 \h </w:instrText>
        </w:r>
        <w:r w:rsidR="009B0114">
          <w:rPr>
            <w:noProof/>
            <w:webHidden/>
          </w:rPr>
        </w:r>
        <w:r w:rsidR="009B0114">
          <w:rPr>
            <w:noProof/>
            <w:webHidden/>
          </w:rPr>
          <w:fldChar w:fldCharType="separate"/>
        </w:r>
        <w:r w:rsidR="009B0114">
          <w:rPr>
            <w:noProof/>
            <w:webHidden/>
          </w:rPr>
          <w:t>5</w:t>
        </w:r>
        <w:r w:rsidR="009B0114">
          <w:rPr>
            <w:noProof/>
            <w:webHidden/>
          </w:rPr>
          <w:fldChar w:fldCharType="end"/>
        </w:r>
      </w:hyperlink>
    </w:p>
    <w:p w:rsidR="009B0114" w:rsidRDefault="0031724C">
      <w:pPr>
        <w:pStyle w:val="TM3"/>
        <w:tabs>
          <w:tab w:val="left" w:pos="1100"/>
          <w:tab w:val="right" w:leader="dot" w:pos="9060"/>
        </w:tabs>
        <w:rPr>
          <w:rFonts w:asciiTheme="minorHAnsi" w:eastAsiaTheme="minorEastAsia" w:hAnsiTheme="minorHAnsi"/>
          <w:noProof/>
          <w:lang w:eastAsia="fr-FR"/>
        </w:rPr>
      </w:pPr>
      <w:hyperlink w:anchor="_Toc452390476" w:history="1">
        <w:r w:rsidR="009B0114" w:rsidRPr="0043213C">
          <w:rPr>
            <w:rStyle w:val="Lienhypertexte"/>
            <w:noProof/>
          </w:rPr>
          <w:t>3.3.</w:t>
        </w:r>
        <w:r w:rsidR="009B0114">
          <w:rPr>
            <w:rFonts w:asciiTheme="minorHAnsi" w:eastAsiaTheme="minorEastAsia" w:hAnsiTheme="minorHAnsi"/>
            <w:noProof/>
            <w:lang w:eastAsia="fr-FR"/>
          </w:rPr>
          <w:tab/>
        </w:r>
        <w:r w:rsidR="009B0114" w:rsidRPr="0043213C">
          <w:rPr>
            <w:rStyle w:val="Lienhypertexte"/>
            <w:noProof/>
          </w:rPr>
          <w:t>Obligation d’information permanente</w:t>
        </w:r>
        <w:r w:rsidR="009B0114">
          <w:rPr>
            <w:noProof/>
            <w:webHidden/>
          </w:rPr>
          <w:tab/>
        </w:r>
        <w:r w:rsidR="009B0114">
          <w:rPr>
            <w:noProof/>
            <w:webHidden/>
          </w:rPr>
          <w:fldChar w:fldCharType="begin"/>
        </w:r>
        <w:r w:rsidR="009B0114">
          <w:rPr>
            <w:noProof/>
            <w:webHidden/>
          </w:rPr>
          <w:instrText xml:space="preserve"> PAGEREF _Toc452390476 \h </w:instrText>
        </w:r>
        <w:r w:rsidR="009B0114">
          <w:rPr>
            <w:noProof/>
            <w:webHidden/>
          </w:rPr>
        </w:r>
        <w:r w:rsidR="009B0114">
          <w:rPr>
            <w:noProof/>
            <w:webHidden/>
          </w:rPr>
          <w:fldChar w:fldCharType="separate"/>
        </w:r>
        <w:r w:rsidR="009B0114">
          <w:rPr>
            <w:noProof/>
            <w:webHidden/>
          </w:rPr>
          <w:t>5</w:t>
        </w:r>
        <w:r w:rsidR="009B0114">
          <w:rPr>
            <w:noProof/>
            <w:webHidden/>
          </w:rPr>
          <w:fldChar w:fldCharType="end"/>
        </w:r>
      </w:hyperlink>
    </w:p>
    <w:p w:rsidR="009B0114" w:rsidRDefault="0031724C">
      <w:pPr>
        <w:pStyle w:val="TM3"/>
        <w:tabs>
          <w:tab w:val="left" w:pos="1100"/>
          <w:tab w:val="right" w:leader="dot" w:pos="9060"/>
        </w:tabs>
        <w:rPr>
          <w:rFonts w:asciiTheme="minorHAnsi" w:eastAsiaTheme="minorEastAsia" w:hAnsiTheme="minorHAnsi"/>
          <w:noProof/>
          <w:lang w:eastAsia="fr-FR"/>
        </w:rPr>
      </w:pPr>
      <w:hyperlink w:anchor="_Toc452390477" w:history="1">
        <w:r w:rsidR="009B0114" w:rsidRPr="0043213C">
          <w:rPr>
            <w:rStyle w:val="Lienhypertexte"/>
            <w:noProof/>
          </w:rPr>
          <w:t>3.4.</w:t>
        </w:r>
        <w:r w:rsidR="009B0114">
          <w:rPr>
            <w:rFonts w:asciiTheme="minorHAnsi" w:eastAsiaTheme="minorEastAsia" w:hAnsiTheme="minorHAnsi"/>
            <w:noProof/>
            <w:lang w:eastAsia="fr-FR"/>
          </w:rPr>
          <w:tab/>
        </w:r>
        <w:r w:rsidR="009B0114" w:rsidRPr="0043213C">
          <w:rPr>
            <w:rStyle w:val="Lienhypertexte"/>
            <w:noProof/>
          </w:rPr>
          <w:t>Subdélégation lors des augmentations de capital</w:t>
        </w:r>
        <w:r w:rsidR="009B0114">
          <w:rPr>
            <w:noProof/>
            <w:webHidden/>
          </w:rPr>
          <w:tab/>
        </w:r>
        <w:r w:rsidR="009B0114">
          <w:rPr>
            <w:noProof/>
            <w:webHidden/>
          </w:rPr>
          <w:fldChar w:fldCharType="begin"/>
        </w:r>
        <w:r w:rsidR="009B0114">
          <w:rPr>
            <w:noProof/>
            <w:webHidden/>
          </w:rPr>
          <w:instrText xml:space="preserve"> PAGEREF _Toc452390477 \h </w:instrText>
        </w:r>
        <w:r w:rsidR="009B0114">
          <w:rPr>
            <w:noProof/>
            <w:webHidden/>
          </w:rPr>
        </w:r>
        <w:r w:rsidR="009B0114">
          <w:rPr>
            <w:noProof/>
            <w:webHidden/>
          </w:rPr>
          <w:fldChar w:fldCharType="separate"/>
        </w:r>
        <w:r w:rsidR="009B0114">
          <w:rPr>
            <w:noProof/>
            <w:webHidden/>
          </w:rPr>
          <w:t>5</w:t>
        </w:r>
        <w:r w:rsidR="009B0114">
          <w:rPr>
            <w:noProof/>
            <w:webHidden/>
          </w:rPr>
          <w:fldChar w:fldCharType="end"/>
        </w:r>
      </w:hyperlink>
    </w:p>
    <w:p w:rsidR="009B0114" w:rsidRDefault="0031724C">
      <w:pPr>
        <w:pStyle w:val="TM3"/>
        <w:tabs>
          <w:tab w:val="left" w:pos="1100"/>
          <w:tab w:val="right" w:leader="dot" w:pos="9060"/>
        </w:tabs>
        <w:rPr>
          <w:rFonts w:asciiTheme="minorHAnsi" w:eastAsiaTheme="minorEastAsia" w:hAnsiTheme="minorHAnsi"/>
          <w:noProof/>
          <w:lang w:eastAsia="fr-FR"/>
        </w:rPr>
      </w:pPr>
      <w:hyperlink w:anchor="_Toc452390478" w:history="1">
        <w:r w:rsidR="009B0114" w:rsidRPr="0043213C">
          <w:rPr>
            <w:rStyle w:val="Lienhypertexte"/>
            <w:noProof/>
          </w:rPr>
          <w:t>3.5.</w:t>
        </w:r>
        <w:r w:rsidR="009B0114">
          <w:rPr>
            <w:rFonts w:asciiTheme="minorHAnsi" w:eastAsiaTheme="minorEastAsia" w:hAnsiTheme="minorHAnsi"/>
            <w:noProof/>
            <w:lang w:eastAsia="fr-FR"/>
          </w:rPr>
          <w:tab/>
        </w:r>
        <w:r w:rsidR="009B0114" w:rsidRPr="0043213C">
          <w:rPr>
            <w:rStyle w:val="Lienhypertexte"/>
            <w:noProof/>
          </w:rPr>
          <w:t>Augmentations de capital avec suppression du droit préférentiel de souscription (DPS)</w:t>
        </w:r>
        <w:r w:rsidR="009B0114">
          <w:rPr>
            <w:noProof/>
            <w:webHidden/>
          </w:rPr>
          <w:tab/>
        </w:r>
        <w:r w:rsidR="009B0114">
          <w:rPr>
            <w:noProof/>
            <w:webHidden/>
          </w:rPr>
          <w:fldChar w:fldCharType="begin"/>
        </w:r>
        <w:r w:rsidR="009B0114">
          <w:rPr>
            <w:noProof/>
            <w:webHidden/>
          </w:rPr>
          <w:instrText xml:space="preserve"> PAGEREF _Toc452390478 \h </w:instrText>
        </w:r>
        <w:r w:rsidR="009B0114">
          <w:rPr>
            <w:noProof/>
            <w:webHidden/>
          </w:rPr>
        </w:r>
        <w:r w:rsidR="009B0114">
          <w:rPr>
            <w:noProof/>
            <w:webHidden/>
          </w:rPr>
          <w:fldChar w:fldCharType="separate"/>
        </w:r>
        <w:r w:rsidR="009B0114">
          <w:rPr>
            <w:noProof/>
            <w:webHidden/>
          </w:rPr>
          <w:t>6</w:t>
        </w:r>
        <w:r w:rsidR="009B0114">
          <w:rPr>
            <w:noProof/>
            <w:webHidden/>
          </w:rPr>
          <w:fldChar w:fldCharType="end"/>
        </w:r>
      </w:hyperlink>
    </w:p>
    <w:p w:rsidR="009B0114" w:rsidRDefault="0031724C">
      <w:pPr>
        <w:pStyle w:val="TM2"/>
        <w:tabs>
          <w:tab w:val="left" w:pos="660"/>
          <w:tab w:val="right" w:leader="dot" w:pos="9060"/>
        </w:tabs>
        <w:rPr>
          <w:rFonts w:asciiTheme="minorHAnsi" w:eastAsiaTheme="minorEastAsia" w:hAnsiTheme="minorHAnsi"/>
          <w:noProof/>
          <w:lang w:eastAsia="fr-FR"/>
        </w:rPr>
      </w:pPr>
      <w:hyperlink w:anchor="_Toc452390479" w:history="1">
        <w:r w:rsidR="009B0114" w:rsidRPr="0043213C">
          <w:rPr>
            <w:rStyle w:val="Lienhypertexte"/>
            <w:noProof/>
          </w:rPr>
          <w:t>4.</w:t>
        </w:r>
        <w:r w:rsidR="009B0114">
          <w:rPr>
            <w:rFonts w:asciiTheme="minorHAnsi" w:eastAsiaTheme="minorEastAsia" w:hAnsiTheme="minorHAnsi"/>
            <w:noProof/>
            <w:lang w:eastAsia="fr-FR"/>
          </w:rPr>
          <w:tab/>
        </w:r>
        <w:r w:rsidR="009B0114" w:rsidRPr="0043213C">
          <w:rPr>
            <w:rStyle w:val="Lienhypertexte"/>
            <w:noProof/>
          </w:rPr>
          <w:t>PRINCIPALES DIFFERENCES ENTRE LE MARCHE REGLEMENTE ET ALTERNEXT</w:t>
        </w:r>
        <w:r w:rsidR="009B0114">
          <w:rPr>
            <w:noProof/>
            <w:webHidden/>
          </w:rPr>
          <w:tab/>
        </w:r>
        <w:r w:rsidR="009B0114">
          <w:rPr>
            <w:noProof/>
            <w:webHidden/>
          </w:rPr>
          <w:fldChar w:fldCharType="begin"/>
        </w:r>
        <w:r w:rsidR="009B0114">
          <w:rPr>
            <w:noProof/>
            <w:webHidden/>
          </w:rPr>
          <w:instrText xml:space="preserve"> PAGEREF _Toc452390479 \h </w:instrText>
        </w:r>
        <w:r w:rsidR="009B0114">
          <w:rPr>
            <w:noProof/>
            <w:webHidden/>
          </w:rPr>
        </w:r>
        <w:r w:rsidR="009B0114">
          <w:rPr>
            <w:noProof/>
            <w:webHidden/>
          </w:rPr>
          <w:fldChar w:fldCharType="separate"/>
        </w:r>
        <w:r w:rsidR="009B0114">
          <w:rPr>
            <w:noProof/>
            <w:webHidden/>
          </w:rPr>
          <w:t>6</w:t>
        </w:r>
        <w:r w:rsidR="009B0114">
          <w:rPr>
            <w:noProof/>
            <w:webHidden/>
          </w:rPr>
          <w:fldChar w:fldCharType="end"/>
        </w:r>
      </w:hyperlink>
    </w:p>
    <w:p w:rsidR="009B0114" w:rsidRDefault="0031724C">
      <w:pPr>
        <w:pStyle w:val="TM3"/>
        <w:tabs>
          <w:tab w:val="left" w:pos="1100"/>
          <w:tab w:val="right" w:leader="dot" w:pos="9060"/>
        </w:tabs>
        <w:rPr>
          <w:rFonts w:asciiTheme="minorHAnsi" w:eastAsiaTheme="minorEastAsia" w:hAnsiTheme="minorHAnsi"/>
          <w:noProof/>
          <w:lang w:eastAsia="fr-FR"/>
        </w:rPr>
      </w:pPr>
      <w:hyperlink w:anchor="_Toc452390480" w:history="1">
        <w:r w:rsidR="009B0114" w:rsidRPr="0043213C">
          <w:rPr>
            <w:rStyle w:val="Lienhypertexte"/>
            <w:noProof/>
          </w:rPr>
          <w:t>4.1.</w:t>
        </w:r>
        <w:r w:rsidR="009B0114">
          <w:rPr>
            <w:rFonts w:asciiTheme="minorHAnsi" w:eastAsiaTheme="minorEastAsia" w:hAnsiTheme="minorHAnsi"/>
            <w:noProof/>
            <w:lang w:eastAsia="fr-FR"/>
          </w:rPr>
          <w:tab/>
        </w:r>
        <w:r w:rsidR="009B0114" w:rsidRPr="0043213C">
          <w:rPr>
            <w:rStyle w:val="Lienhypertexte"/>
            <w:noProof/>
          </w:rPr>
          <w:t>Franchissements de seuils</w:t>
        </w:r>
        <w:r w:rsidR="009B0114">
          <w:rPr>
            <w:noProof/>
            <w:webHidden/>
          </w:rPr>
          <w:tab/>
        </w:r>
        <w:r w:rsidR="009B0114">
          <w:rPr>
            <w:noProof/>
            <w:webHidden/>
          </w:rPr>
          <w:fldChar w:fldCharType="begin"/>
        </w:r>
        <w:r w:rsidR="009B0114">
          <w:rPr>
            <w:noProof/>
            <w:webHidden/>
          </w:rPr>
          <w:instrText xml:space="preserve"> PAGEREF _Toc452390480 \h </w:instrText>
        </w:r>
        <w:r w:rsidR="009B0114">
          <w:rPr>
            <w:noProof/>
            <w:webHidden/>
          </w:rPr>
        </w:r>
        <w:r w:rsidR="009B0114">
          <w:rPr>
            <w:noProof/>
            <w:webHidden/>
          </w:rPr>
          <w:fldChar w:fldCharType="separate"/>
        </w:r>
        <w:r w:rsidR="009B0114">
          <w:rPr>
            <w:noProof/>
            <w:webHidden/>
          </w:rPr>
          <w:t>6</w:t>
        </w:r>
        <w:r w:rsidR="009B0114">
          <w:rPr>
            <w:noProof/>
            <w:webHidden/>
          </w:rPr>
          <w:fldChar w:fldCharType="end"/>
        </w:r>
      </w:hyperlink>
    </w:p>
    <w:p w:rsidR="009B0114" w:rsidRDefault="0031724C">
      <w:pPr>
        <w:pStyle w:val="TM3"/>
        <w:tabs>
          <w:tab w:val="left" w:pos="1100"/>
          <w:tab w:val="right" w:leader="dot" w:pos="9060"/>
        </w:tabs>
        <w:rPr>
          <w:rFonts w:asciiTheme="minorHAnsi" w:eastAsiaTheme="minorEastAsia" w:hAnsiTheme="minorHAnsi"/>
          <w:noProof/>
          <w:lang w:eastAsia="fr-FR"/>
        </w:rPr>
      </w:pPr>
      <w:hyperlink w:anchor="_Toc452390481" w:history="1">
        <w:r w:rsidR="009B0114" w:rsidRPr="0043213C">
          <w:rPr>
            <w:rStyle w:val="Lienhypertexte"/>
            <w:noProof/>
          </w:rPr>
          <w:t>4.2.</w:t>
        </w:r>
        <w:r w:rsidR="009B0114">
          <w:rPr>
            <w:rFonts w:asciiTheme="minorHAnsi" w:eastAsiaTheme="minorEastAsia" w:hAnsiTheme="minorHAnsi"/>
            <w:noProof/>
            <w:lang w:eastAsia="fr-FR"/>
          </w:rPr>
          <w:tab/>
        </w:r>
        <w:r w:rsidR="009B0114" w:rsidRPr="0043213C">
          <w:rPr>
            <w:rStyle w:val="Lienhypertexte"/>
            <w:noProof/>
          </w:rPr>
          <w:t>Information semestrielle et trimestrielle</w:t>
        </w:r>
        <w:r w:rsidR="009B0114">
          <w:rPr>
            <w:noProof/>
            <w:webHidden/>
          </w:rPr>
          <w:tab/>
        </w:r>
        <w:r w:rsidR="009B0114">
          <w:rPr>
            <w:noProof/>
            <w:webHidden/>
          </w:rPr>
          <w:fldChar w:fldCharType="begin"/>
        </w:r>
        <w:r w:rsidR="009B0114">
          <w:rPr>
            <w:noProof/>
            <w:webHidden/>
          </w:rPr>
          <w:instrText xml:space="preserve"> PAGEREF _Toc452390481 \h </w:instrText>
        </w:r>
        <w:r w:rsidR="009B0114">
          <w:rPr>
            <w:noProof/>
            <w:webHidden/>
          </w:rPr>
        </w:r>
        <w:r w:rsidR="009B0114">
          <w:rPr>
            <w:noProof/>
            <w:webHidden/>
          </w:rPr>
          <w:fldChar w:fldCharType="separate"/>
        </w:r>
        <w:r w:rsidR="009B0114">
          <w:rPr>
            <w:noProof/>
            <w:webHidden/>
          </w:rPr>
          <w:t>6</w:t>
        </w:r>
        <w:r w:rsidR="009B0114">
          <w:rPr>
            <w:noProof/>
            <w:webHidden/>
          </w:rPr>
          <w:fldChar w:fldCharType="end"/>
        </w:r>
      </w:hyperlink>
    </w:p>
    <w:p w:rsidR="009B0114" w:rsidRDefault="0031724C">
      <w:pPr>
        <w:pStyle w:val="TM3"/>
        <w:tabs>
          <w:tab w:val="left" w:pos="1100"/>
          <w:tab w:val="right" w:leader="dot" w:pos="9060"/>
        </w:tabs>
        <w:rPr>
          <w:rFonts w:asciiTheme="minorHAnsi" w:eastAsiaTheme="minorEastAsia" w:hAnsiTheme="minorHAnsi"/>
          <w:noProof/>
          <w:lang w:eastAsia="fr-FR"/>
        </w:rPr>
      </w:pPr>
      <w:hyperlink w:anchor="_Toc452390482" w:history="1">
        <w:r w:rsidR="009B0114" w:rsidRPr="0043213C">
          <w:rPr>
            <w:rStyle w:val="Lienhypertexte"/>
            <w:noProof/>
          </w:rPr>
          <w:t>4.3.</w:t>
        </w:r>
        <w:r w:rsidR="009B0114">
          <w:rPr>
            <w:rFonts w:asciiTheme="minorHAnsi" w:eastAsiaTheme="minorEastAsia" w:hAnsiTheme="minorHAnsi"/>
            <w:noProof/>
            <w:lang w:eastAsia="fr-FR"/>
          </w:rPr>
          <w:tab/>
        </w:r>
        <w:r w:rsidR="009B0114" w:rsidRPr="0043213C">
          <w:rPr>
            <w:rStyle w:val="Lienhypertexte"/>
            <w:noProof/>
          </w:rPr>
          <w:t>Rapport du Président sur le contrôle interne</w:t>
        </w:r>
        <w:r w:rsidR="009B0114">
          <w:rPr>
            <w:noProof/>
            <w:webHidden/>
          </w:rPr>
          <w:tab/>
        </w:r>
        <w:r w:rsidR="009B0114">
          <w:rPr>
            <w:noProof/>
            <w:webHidden/>
          </w:rPr>
          <w:fldChar w:fldCharType="begin"/>
        </w:r>
        <w:r w:rsidR="009B0114">
          <w:rPr>
            <w:noProof/>
            <w:webHidden/>
          </w:rPr>
          <w:instrText xml:space="preserve"> PAGEREF _Toc452390482 \h </w:instrText>
        </w:r>
        <w:r w:rsidR="009B0114">
          <w:rPr>
            <w:noProof/>
            <w:webHidden/>
          </w:rPr>
        </w:r>
        <w:r w:rsidR="009B0114">
          <w:rPr>
            <w:noProof/>
            <w:webHidden/>
          </w:rPr>
          <w:fldChar w:fldCharType="separate"/>
        </w:r>
        <w:r w:rsidR="009B0114">
          <w:rPr>
            <w:noProof/>
            <w:webHidden/>
          </w:rPr>
          <w:t>6</w:t>
        </w:r>
        <w:r w:rsidR="009B0114">
          <w:rPr>
            <w:noProof/>
            <w:webHidden/>
          </w:rPr>
          <w:fldChar w:fldCharType="end"/>
        </w:r>
      </w:hyperlink>
    </w:p>
    <w:p w:rsidR="009B0114" w:rsidRDefault="0031724C">
      <w:pPr>
        <w:pStyle w:val="TM3"/>
        <w:tabs>
          <w:tab w:val="left" w:pos="1100"/>
          <w:tab w:val="right" w:leader="dot" w:pos="9060"/>
        </w:tabs>
        <w:rPr>
          <w:rFonts w:asciiTheme="minorHAnsi" w:eastAsiaTheme="minorEastAsia" w:hAnsiTheme="minorHAnsi"/>
          <w:noProof/>
          <w:lang w:eastAsia="fr-FR"/>
        </w:rPr>
      </w:pPr>
      <w:hyperlink w:anchor="_Toc452390483" w:history="1">
        <w:r w:rsidR="009B0114" w:rsidRPr="0043213C">
          <w:rPr>
            <w:rStyle w:val="Lienhypertexte"/>
            <w:noProof/>
          </w:rPr>
          <w:t>4.4.</w:t>
        </w:r>
        <w:r w:rsidR="009B0114">
          <w:rPr>
            <w:rFonts w:asciiTheme="minorHAnsi" w:eastAsiaTheme="minorEastAsia" w:hAnsiTheme="minorHAnsi"/>
            <w:noProof/>
            <w:lang w:eastAsia="fr-FR"/>
          </w:rPr>
          <w:tab/>
        </w:r>
        <w:r w:rsidR="009B0114" w:rsidRPr="0043213C">
          <w:rPr>
            <w:rStyle w:val="Lienhypertexte"/>
            <w:noProof/>
          </w:rPr>
          <w:t>Normes comptables internationales</w:t>
        </w:r>
        <w:r w:rsidR="009B0114">
          <w:rPr>
            <w:noProof/>
            <w:webHidden/>
          </w:rPr>
          <w:tab/>
        </w:r>
        <w:r w:rsidR="009B0114">
          <w:rPr>
            <w:noProof/>
            <w:webHidden/>
          </w:rPr>
          <w:fldChar w:fldCharType="begin"/>
        </w:r>
        <w:r w:rsidR="009B0114">
          <w:rPr>
            <w:noProof/>
            <w:webHidden/>
          </w:rPr>
          <w:instrText xml:space="preserve"> PAGEREF _Toc452390483 \h </w:instrText>
        </w:r>
        <w:r w:rsidR="009B0114">
          <w:rPr>
            <w:noProof/>
            <w:webHidden/>
          </w:rPr>
        </w:r>
        <w:r w:rsidR="009B0114">
          <w:rPr>
            <w:noProof/>
            <w:webHidden/>
          </w:rPr>
          <w:fldChar w:fldCharType="separate"/>
        </w:r>
        <w:r w:rsidR="009B0114">
          <w:rPr>
            <w:noProof/>
            <w:webHidden/>
          </w:rPr>
          <w:t>7</w:t>
        </w:r>
        <w:r w:rsidR="009B0114">
          <w:rPr>
            <w:noProof/>
            <w:webHidden/>
          </w:rPr>
          <w:fldChar w:fldCharType="end"/>
        </w:r>
      </w:hyperlink>
    </w:p>
    <w:p w:rsidR="009B0114" w:rsidRDefault="0031724C">
      <w:pPr>
        <w:pStyle w:val="TM3"/>
        <w:tabs>
          <w:tab w:val="left" w:pos="1100"/>
          <w:tab w:val="right" w:leader="dot" w:pos="9060"/>
        </w:tabs>
        <w:rPr>
          <w:rFonts w:asciiTheme="minorHAnsi" w:eastAsiaTheme="minorEastAsia" w:hAnsiTheme="minorHAnsi"/>
          <w:noProof/>
          <w:lang w:eastAsia="fr-FR"/>
        </w:rPr>
      </w:pPr>
      <w:hyperlink w:anchor="_Toc452390484" w:history="1">
        <w:r w:rsidR="009B0114" w:rsidRPr="0043213C">
          <w:rPr>
            <w:rStyle w:val="Lienhypertexte"/>
            <w:noProof/>
          </w:rPr>
          <w:t>4.5.</w:t>
        </w:r>
        <w:r w:rsidR="009B0114">
          <w:rPr>
            <w:rFonts w:asciiTheme="minorHAnsi" w:eastAsiaTheme="minorEastAsia" w:hAnsiTheme="minorHAnsi"/>
            <w:noProof/>
            <w:lang w:eastAsia="fr-FR"/>
          </w:rPr>
          <w:tab/>
        </w:r>
        <w:r w:rsidR="009B0114" w:rsidRPr="0043213C">
          <w:rPr>
            <w:rStyle w:val="Lienhypertexte"/>
            <w:noProof/>
          </w:rPr>
          <w:t>Les commissaires aux comptes</w:t>
        </w:r>
        <w:r w:rsidR="009B0114">
          <w:rPr>
            <w:noProof/>
            <w:webHidden/>
          </w:rPr>
          <w:tab/>
        </w:r>
        <w:r w:rsidR="009B0114">
          <w:rPr>
            <w:noProof/>
            <w:webHidden/>
          </w:rPr>
          <w:fldChar w:fldCharType="begin"/>
        </w:r>
        <w:r w:rsidR="009B0114">
          <w:rPr>
            <w:noProof/>
            <w:webHidden/>
          </w:rPr>
          <w:instrText xml:space="preserve"> PAGEREF _Toc452390484 \h </w:instrText>
        </w:r>
        <w:r w:rsidR="009B0114">
          <w:rPr>
            <w:noProof/>
            <w:webHidden/>
          </w:rPr>
        </w:r>
        <w:r w:rsidR="009B0114">
          <w:rPr>
            <w:noProof/>
            <w:webHidden/>
          </w:rPr>
          <w:fldChar w:fldCharType="separate"/>
        </w:r>
        <w:r w:rsidR="009B0114">
          <w:rPr>
            <w:noProof/>
            <w:webHidden/>
          </w:rPr>
          <w:t>7</w:t>
        </w:r>
        <w:r w:rsidR="009B0114">
          <w:rPr>
            <w:noProof/>
            <w:webHidden/>
          </w:rPr>
          <w:fldChar w:fldCharType="end"/>
        </w:r>
      </w:hyperlink>
    </w:p>
    <w:p w:rsidR="009B0114" w:rsidRDefault="0031724C">
      <w:pPr>
        <w:pStyle w:val="TM1"/>
        <w:rPr>
          <w:rFonts w:eastAsiaTheme="minorEastAsia"/>
          <w:b w:val="0"/>
          <w:color w:val="auto"/>
          <w:sz w:val="22"/>
          <w:lang w:eastAsia="fr-FR"/>
        </w:rPr>
      </w:pPr>
      <w:hyperlink w:anchor="_Toc452390485" w:history="1">
        <w:r w:rsidR="009B0114" w:rsidRPr="0043213C">
          <w:rPr>
            <w:rStyle w:val="Lienhypertexte"/>
          </w:rPr>
          <w:t>Section 300.</w:t>
        </w:r>
        <w:r w:rsidR="009B0114">
          <w:rPr>
            <w:rFonts w:eastAsiaTheme="minorEastAsia"/>
            <w:b w:val="0"/>
            <w:color w:val="auto"/>
            <w:sz w:val="22"/>
            <w:lang w:eastAsia="fr-FR"/>
          </w:rPr>
          <w:tab/>
        </w:r>
        <w:r w:rsidR="009B0114" w:rsidRPr="0043213C">
          <w:rPr>
            <w:rStyle w:val="Lienhypertexte"/>
          </w:rPr>
          <w:t>Annexe 1 : Tableau récapitulatif des obligations sur Alternext</w:t>
        </w:r>
        <w:r w:rsidR="009B0114">
          <w:rPr>
            <w:webHidden/>
          </w:rPr>
          <w:tab/>
        </w:r>
        <w:r w:rsidR="009B0114">
          <w:rPr>
            <w:webHidden/>
          </w:rPr>
          <w:fldChar w:fldCharType="begin"/>
        </w:r>
        <w:r w:rsidR="009B0114">
          <w:rPr>
            <w:webHidden/>
          </w:rPr>
          <w:instrText xml:space="preserve"> PAGEREF _Toc452390485 \h </w:instrText>
        </w:r>
        <w:r w:rsidR="009B0114">
          <w:rPr>
            <w:webHidden/>
          </w:rPr>
        </w:r>
        <w:r w:rsidR="009B0114">
          <w:rPr>
            <w:webHidden/>
          </w:rPr>
          <w:fldChar w:fldCharType="separate"/>
        </w:r>
        <w:r w:rsidR="009B0114">
          <w:rPr>
            <w:webHidden/>
          </w:rPr>
          <w:t>7</w:t>
        </w:r>
        <w:r w:rsidR="009B0114">
          <w:rPr>
            <w:webHidden/>
          </w:rPr>
          <w:fldChar w:fldCharType="end"/>
        </w:r>
      </w:hyperlink>
    </w:p>
    <w:p w:rsidR="009B0114" w:rsidRDefault="0031724C">
      <w:pPr>
        <w:pStyle w:val="TM1"/>
        <w:rPr>
          <w:rFonts w:eastAsiaTheme="minorEastAsia"/>
          <w:b w:val="0"/>
          <w:color w:val="auto"/>
          <w:sz w:val="22"/>
          <w:lang w:eastAsia="fr-FR"/>
        </w:rPr>
      </w:pPr>
      <w:hyperlink w:anchor="_Toc452390486" w:history="1">
        <w:r w:rsidR="009B0114" w:rsidRPr="0043213C">
          <w:rPr>
            <w:rStyle w:val="Lienhypertexte"/>
          </w:rPr>
          <w:t>Section 400.</w:t>
        </w:r>
        <w:r w:rsidR="009B0114">
          <w:rPr>
            <w:rFonts w:eastAsiaTheme="minorEastAsia"/>
            <w:b w:val="0"/>
            <w:color w:val="auto"/>
            <w:sz w:val="22"/>
            <w:lang w:eastAsia="fr-FR"/>
          </w:rPr>
          <w:tab/>
        </w:r>
        <w:r w:rsidR="009B0114" w:rsidRPr="0043213C">
          <w:rPr>
            <w:rStyle w:val="Lienhypertexte"/>
          </w:rPr>
          <w:t>Annexe 2 : Investisseurs qualifiés</w:t>
        </w:r>
        <w:r w:rsidR="009B0114">
          <w:rPr>
            <w:webHidden/>
          </w:rPr>
          <w:tab/>
        </w:r>
        <w:r w:rsidR="009B0114">
          <w:rPr>
            <w:webHidden/>
          </w:rPr>
          <w:fldChar w:fldCharType="begin"/>
        </w:r>
        <w:r w:rsidR="009B0114">
          <w:rPr>
            <w:webHidden/>
          </w:rPr>
          <w:instrText xml:space="preserve"> PAGEREF _Toc452390486 \h </w:instrText>
        </w:r>
        <w:r w:rsidR="009B0114">
          <w:rPr>
            <w:webHidden/>
          </w:rPr>
        </w:r>
        <w:r w:rsidR="009B0114">
          <w:rPr>
            <w:webHidden/>
          </w:rPr>
          <w:fldChar w:fldCharType="separate"/>
        </w:r>
        <w:r w:rsidR="009B0114">
          <w:rPr>
            <w:webHidden/>
          </w:rPr>
          <w:t>9</w:t>
        </w:r>
        <w:r w:rsidR="009B0114">
          <w:rPr>
            <w:webHidden/>
          </w:rPr>
          <w:fldChar w:fldCharType="end"/>
        </w:r>
      </w:hyperlink>
    </w:p>
    <w:p w:rsidR="009B0114" w:rsidRDefault="0031724C">
      <w:pPr>
        <w:pStyle w:val="TM2"/>
        <w:tabs>
          <w:tab w:val="left" w:pos="660"/>
          <w:tab w:val="right" w:leader="dot" w:pos="9060"/>
        </w:tabs>
        <w:rPr>
          <w:rFonts w:asciiTheme="minorHAnsi" w:eastAsiaTheme="minorEastAsia" w:hAnsiTheme="minorHAnsi"/>
          <w:noProof/>
          <w:lang w:eastAsia="fr-FR"/>
        </w:rPr>
      </w:pPr>
      <w:hyperlink w:anchor="_Toc452390487" w:history="1">
        <w:r w:rsidR="009B0114" w:rsidRPr="0043213C">
          <w:rPr>
            <w:rStyle w:val="Lienhypertexte"/>
            <w:noProof/>
          </w:rPr>
          <w:t>1.</w:t>
        </w:r>
        <w:r w:rsidR="009B0114">
          <w:rPr>
            <w:rFonts w:asciiTheme="minorHAnsi" w:eastAsiaTheme="minorEastAsia" w:hAnsiTheme="minorHAnsi"/>
            <w:noProof/>
            <w:lang w:eastAsia="fr-FR"/>
          </w:rPr>
          <w:tab/>
        </w:r>
        <w:r w:rsidR="009B0114" w:rsidRPr="0043213C">
          <w:rPr>
            <w:rStyle w:val="Lienhypertexte"/>
            <w:noProof/>
          </w:rPr>
          <w:t>ARTICLE D411-1 DU CODE MONETAIRE ET FINANCIER</w:t>
        </w:r>
        <w:r w:rsidR="009B0114">
          <w:rPr>
            <w:noProof/>
            <w:webHidden/>
          </w:rPr>
          <w:tab/>
        </w:r>
        <w:r w:rsidR="009B0114">
          <w:rPr>
            <w:noProof/>
            <w:webHidden/>
          </w:rPr>
          <w:fldChar w:fldCharType="begin"/>
        </w:r>
        <w:r w:rsidR="009B0114">
          <w:rPr>
            <w:noProof/>
            <w:webHidden/>
          </w:rPr>
          <w:instrText xml:space="preserve"> PAGEREF _Toc452390487 \h </w:instrText>
        </w:r>
        <w:r w:rsidR="009B0114">
          <w:rPr>
            <w:noProof/>
            <w:webHidden/>
          </w:rPr>
        </w:r>
        <w:r w:rsidR="009B0114">
          <w:rPr>
            <w:noProof/>
            <w:webHidden/>
          </w:rPr>
          <w:fldChar w:fldCharType="separate"/>
        </w:r>
        <w:r w:rsidR="009B0114">
          <w:rPr>
            <w:noProof/>
            <w:webHidden/>
          </w:rPr>
          <w:t>9</w:t>
        </w:r>
        <w:r w:rsidR="009B0114">
          <w:rPr>
            <w:noProof/>
            <w:webHidden/>
          </w:rPr>
          <w:fldChar w:fldCharType="end"/>
        </w:r>
      </w:hyperlink>
    </w:p>
    <w:p w:rsidR="009B0114" w:rsidRDefault="0031724C">
      <w:pPr>
        <w:pStyle w:val="TM2"/>
        <w:tabs>
          <w:tab w:val="left" w:pos="660"/>
          <w:tab w:val="right" w:leader="dot" w:pos="9060"/>
        </w:tabs>
        <w:rPr>
          <w:rFonts w:asciiTheme="minorHAnsi" w:eastAsiaTheme="minorEastAsia" w:hAnsiTheme="minorHAnsi"/>
          <w:noProof/>
          <w:lang w:eastAsia="fr-FR"/>
        </w:rPr>
      </w:pPr>
      <w:hyperlink w:anchor="_Toc452390488" w:history="1">
        <w:r w:rsidR="009B0114" w:rsidRPr="0043213C">
          <w:rPr>
            <w:rStyle w:val="Lienhypertexte"/>
            <w:noProof/>
          </w:rPr>
          <w:t>2.</w:t>
        </w:r>
        <w:r w:rsidR="009B0114">
          <w:rPr>
            <w:rFonts w:asciiTheme="minorHAnsi" w:eastAsiaTheme="minorEastAsia" w:hAnsiTheme="minorHAnsi"/>
            <w:noProof/>
            <w:lang w:eastAsia="fr-FR"/>
          </w:rPr>
          <w:tab/>
        </w:r>
        <w:r w:rsidR="009B0114" w:rsidRPr="0043213C">
          <w:rPr>
            <w:rStyle w:val="Lienhypertexte"/>
            <w:noProof/>
          </w:rPr>
          <w:t>ARTICLE D411-2 DU CODE MONETAIRE ET FINANCIER :</w:t>
        </w:r>
        <w:r w:rsidR="009B0114">
          <w:rPr>
            <w:noProof/>
            <w:webHidden/>
          </w:rPr>
          <w:tab/>
        </w:r>
        <w:r w:rsidR="009B0114">
          <w:rPr>
            <w:noProof/>
            <w:webHidden/>
          </w:rPr>
          <w:fldChar w:fldCharType="begin"/>
        </w:r>
        <w:r w:rsidR="009B0114">
          <w:rPr>
            <w:noProof/>
            <w:webHidden/>
          </w:rPr>
          <w:instrText xml:space="preserve"> PAGEREF _Toc452390488 \h </w:instrText>
        </w:r>
        <w:r w:rsidR="009B0114">
          <w:rPr>
            <w:noProof/>
            <w:webHidden/>
          </w:rPr>
        </w:r>
        <w:r w:rsidR="009B0114">
          <w:rPr>
            <w:noProof/>
            <w:webHidden/>
          </w:rPr>
          <w:fldChar w:fldCharType="separate"/>
        </w:r>
        <w:r w:rsidR="009B0114">
          <w:rPr>
            <w:noProof/>
            <w:webHidden/>
          </w:rPr>
          <w:t>10</w:t>
        </w:r>
        <w:r w:rsidR="009B0114">
          <w:rPr>
            <w:noProof/>
            <w:webHidden/>
          </w:rPr>
          <w:fldChar w:fldCharType="end"/>
        </w:r>
      </w:hyperlink>
    </w:p>
    <w:p w:rsidR="009B0114" w:rsidRDefault="0031724C">
      <w:pPr>
        <w:pStyle w:val="TM1"/>
        <w:rPr>
          <w:rFonts w:eastAsiaTheme="minorEastAsia"/>
          <w:b w:val="0"/>
          <w:color w:val="auto"/>
          <w:sz w:val="22"/>
          <w:lang w:eastAsia="fr-FR"/>
        </w:rPr>
      </w:pPr>
      <w:hyperlink w:anchor="_Toc452390489" w:history="1">
        <w:r w:rsidR="009B0114" w:rsidRPr="0043213C">
          <w:rPr>
            <w:rStyle w:val="Lienhypertexte"/>
          </w:rPr>
          <w:t>Section 500.</w:t>
        </w:r>
        <w:r w:rsidR="009B0114">
          <w:rPr>
            <w:rFonts w:eastAsiaTheme="minorEastAsia"/>
            <w:b w:val="0"/>
            <w:color w:val="auto"/>
            <w:sz w:val="22"/>
            <w:lang w:eastAsia="fr-FR"/>
          </w:rPr>
          <w:tab/>
        </w:r>
        <w:r w:rsidR="009B0114" w:rsidRPr="0043213C">
          <w:rPr>
            <w:rStyle w:val="Lienhypertexte"/>
          </w:rPr>
          <w:t>Transfert d’Euronext vers Alternext</w:t>
        </w:r>
        <w:r w:rsidR="009B0114">
          <w:rPr>
            <w:webHidden/>
          </w:rPr>
          <w:tab/>
        </w:r>
        <w:r w:rsidR="009B0114">
          <w:rPr>
            <w:webHidden/>
          </w:rPr>
          <w:fldChar w:fldCharType="begin"/>
        </w:r>
        <w:r w:rsidR="009B0114">
          <w:rPr>
            <w:webHidden/>
          </w:rPr>
          <w:instrText xml:space="preserve"> PAGEREF _Toc452390489 \h </w:instrText>
        </w:r>
        <w:r w:rsidR="009B0114">
          <w:rPr>
            <w:webHidden/>
          </w:rPr>
        </w:r>
        <w:r w:rsidR="009B0114">
          <w:rPr>
            <w:webHidden/>
          </w:rPr>
          <w:fldChar w:fldCharType="separate"/>
        </w:r>
        <w:r w:rsidR="009B0114">
          <w:rPr>
            <w:webHidden/>
          </w:rPr>
          <w:t>11</w:t>
        </w:r>
        <w:r w:rsidR="009B0114">
          <w:rPr>
            <w:webHidden/>
          </w:rPr>
          <w:fldChar w:fldCharType="end"/>
        </w:r>
      </w:hyperlink>
    </w:p>
    <w:p w:rsidR="009B0114" w:rsidRDefault="0031724C">
      <w:pPr>
        <w:pStyle w:val="TM2"/>
        <w:tabs>
          <w:tab w:val="left" w:pos="660"/>
          <w:tab w:val="right" w:leader="dot" w:pos="9060"/>
        </w:tabs>
        <w:rPr>
          <w:rFonts w:asciiTheme="minorHAnsi" w:eastAsiaTheme="minorEastAsia" w:hAnsiTheme="minorHAnsi"/>
          <w:noProof/>
          <w:lang w:eastAsia="fr-FR"/>
        </w:rPr>
      </w:pPr>
      <w:hyperlink w:anchor="_Toc452390490" w:history="1">
        <w:r w:rsidR="009B0114" w:rsidRPr="0043213C">
          <w:rPr>
            <w:rStyle w:val="Lienhypertexte"/>
            <w:noProof/>
          </w:rPr>
          <w:t>1.</w:t>
        </w:r>
        <w:r w:rsidR="009B0114">
          <w:rPr>
            <w:rFonts w:asciiTheme="minorHAnsi" w:eastAsiaTheme="minorEastAsia" w:hAnsiTheme="minorHAnsi"/>
            <w:noProof/>
            <w:lang w:eastAsia="fr-FR"/>
          </w:rPr>
          <w:tab/>
        </w:r>
        <w:r w:rsidR="009B0114" w:rsidRPr="0043213C">
          <w:rPr>
            <w:rStyle w:val="Lienhypertexte"/>
            <w:noProof/>
          </w:rPr>
          <w:t>PRESENTATION DU CONTEXTE DE LA REGLEMENTATION</w:t>
        </w:r>
        <w:r w:rsidR="009B0114">
          <w:rPr>
            <w:noProof/>
            <w:webHidden/>
          </w:rPr>
          <w:tab/>
        </w:r>
        <w:r w:rsidR="009B0114">
          <w:rPr>
            <w:noProof/>
            <w:webHidden/>
          </w:rPr>
          <w:fldChar w:fldCharType="begin"/>
        </w:r>
        <w:r w:rsidR="009B0114">
          <w:rPr>
            <w:noProof/>
            <w:webHidden/>
          </w:rPr>
          <w:instrText xml:space="preserve"> PAGEREF _Toc452390490 \h </w:instrText>
        </w:r>
        <w:r w:rsidR="009B0114">
          <w:rPr>
            <w:noProof/>
            <w:webHidden/>
          </w:rPr>
        </w:r>
        <w:r w:rsidR="009B0114">
          <w:rPr>
            <w:noProof/>
            <w:webHidden/>
          </w:rPr>
          <w:fldChar w:fldCharType="separate"/>
        </w:r>
        <w:r w:rsidR="009B0114">
          <w:rPr>
            <w:noProof/>
            <w:webHidden/>
          </w:rPr>
          <w:t>11</w:t>
        </w:r>
        <w:r w:rsidR="009B0114">
          <w:rPr>
            <w:noProof/>
            <w:webHidden/>
          </w:rPr>
          <w:fldChar w:fldCharType="end"/>
        </w:r>
      </w:hyperlink>
    </w:p>
    <w:p w:rsidR="009B0114" w:rsidRDefault="0031724C">
      <w:pPr>
        <w:pStyle w:val="TM2"/>
        <w:tabs>
          <w:tab w:val="left" w:pos="660"/>
          <w:tab w:val="right" w:leader="dot" w:pos="9060"/>
        </w:tabs>
        <w:rPr>
          <w:rFonts w:asciiTheme="minorHAnsi" w:eastAsiaTheme="minorEastAsia" w:hAnsiTheme="minorHAnsi"/>
          <w:noProof/>
          <w:lang w:eastAsia="fr-FR"/>
        </w:rPr>
      </w:pPr>
      <w:hyperlink w:anchor="_Toc452390491" w:history="1">
        <w:r w:rsidR="009B0114" w:rsidRPr="0043213C">
          <w:rPr>
            <w:rStyle w:val="Lienhypertexte"/>
            <w:noProof/>
            <w:lang w:eastAsia="fr-FR"/>
          </w:rPr>
          <w:t>2.</w:t>
        </w:r>
        <w:r w:rsidR="009B0114">
          <w:rPr>
            <w:rFonts w:asciiTheme="minorHAnsi" w:eastAsiaTheme="minorEastAsia" w:hAnsiTheme="minorHAnsi"/>
            <w:noProof/>
            <w:lang w:eastAsia="fr-FR"/>
          </w:rPr>
          <w:tab/>
        </w:r>
        <w:r w:rsidR="009B0114" w:rsidRPr="0043213C">
          <w:rPr>
            <w:rStyle w:val="Lienhypertexte"/>
            <w:noProof/>
            <w:lang w:eastAsia="fr-FR"/>
          </w:rPr>
          <w:t>RAPPEL DES CONDITIONS DE TRANSFERT ADOPTEES PAR L’AMF</w:t>
        </w:r>
        <w:r w:rsidR="009B0114">
          <w:rPr>
            <w:noProof/>
            <w:webHidden/>
          </w:rPr>
          <w:tab/>
        </w:r>
        <w:r w:rsidR="009B0114">
          <w:rPr>
            <w:noProof/>
            <w:webHidden/>
          </w:rPr>
          <w:fldChar w:fldCharType="begin"/>
        </w:r>
        <w:r w:rsidR="009B0114">
          <w:rPr>
            <w:noProof/>
            <w:webHidden/>
          </w:rPr>
          <w:instrText xml:space="preserve"> PAGEREF _Toc452390491 \h </w:instrText>
        </w:r>
        <w:r w:rsidR="009B0114">
          <w:rPr>
            <w:noProof/>
            <w:webHidden/>
          </w:rPr>
        </w:r>
        <w:r w:rsidR="009B0114">
          <w:rPr>
            <w:noProof/>
            <w:webHidden/>
          </w:rPr>
          <w:fldChar w:fldCharType="separate"/>
        </w:r>
        <w:r w:rsidR="009B0114">
          <w:rPr>
            <w:noProof/>
            <w:webHidden/>
          </w:rPr>
          <w:t>12</w:t>
        </w:r>
        <w:r w:rsidR="009B0114">
          <w:rPr>
            <w:noProof/>
            <w:webHidden/>
          </w:rPr>
          <w:fldChar w:fldCharType="end"/>
        </w:r>
      </w:hyperlink>
    </w:p>
    <w:p w:rsidR="009B0114" w:rsidRDefault="0031724C">
      <w:pPr>
        <w:pStyle w:val="TM2"/>
        <w:tabs>
          <w:tab w:val="left" w:pos="660"/>
          <w:tab w:val="right" w:leader="dot" w:pos="9060"/>
        </w:tabs>
        <w:rPr>
          <w:rFonts w:asciiTheme="minorHAnsi" w:eastAsiaTheme="minorEastAsia" w:hAnsiTheme="minorHAnsi"/>
          <w:noProof/>
          <w:lang w:eastAsia="fr-FR"/>
        </w:rPr>
      </w:pPr>
      <w:hyperlink w:anchor="_Toc452390492" w:history="1">
        <w:r w:rsidR="009B0114" w:rsidRPr="0043213C">
          <w:rPr>
            <w:rStyle w:val="Lienhypertexte"/>
            <w:noProof/>
            <w:lang w:eastAsia="fr-FR"/>
          </w:rPr>
          <w:t>3.</w:t>
        </w:r>
        <w:r w:rsidR="009B0114">
          <w:rPr>
            <w:rFonts w:asciiTheme="minorHAnsi" w:eastAsiaTheme="minorEastAsia" w:hAnsiTheme="minorHAnsi"/>
            <w:noProof/>
            <w:lang w:eastAsia="fr-FR"/>
          </w:rPr>
          <w:tab/>
        </w:r>
        <w:r w:rsidR="009B0114" w:rsidRPr="0043213C">
          <w:rPr>
            <w:rStyle w:val="Lienhypertexte"/>
            <w:noProof/>
            <w:lang w:eastAsia="fr-FR"/>
          </w:rPr>
          <w:t>SYNTHESE DES OBLIGATIONS D’INFORMATION RELATIVE AUX MARCHES EURONEXT ET ALTERNEXT</w:t>
        </w:r>
        <w:r w:rsidR="009B0114">
          <w:rPr>
            <w:noProof/>
            <w:webHidden/>
          </w:rPr>
          <w:tab/>
        </w:r>
        <w:r w:rsidR="009B0114">
          <w:rPr>
            <w:noProof/>
            <w:webHidden/>
          </w:rPr>
          <w:fldChar w:fldCharType="begin"/>
        </w:r>
        <w:r w:rsidR="009B0114">
          <w:rPr>
            <w:noProof/>
            <w:webHidden/>
          </w:rPr>
          <w:instrText xml:space="preserve"> PAGEREF _Toc452390492 \h </w:instrText>
        </w:r>
        <w:r w:rsidR="009B0114">
          <w:rPr>
            <w:noProof/>
            <w:webHidden/>
          </w:rPr>
        </w:r>
        <w:r w:rsidR="009B0114">
          <w:rPr>
            <w:noProof/>
            <w:webHidden/>
          </w:rPr>
          <w:fldChar w:fldCharType="separate"/>
        </w:r>
        <w:r w:rsidR="009B0114">
          <w:rPr>
            <w:noProof/>
            <w:webHidden/>
          </w:rPr>
          <w:t>13</w:t>
        </w:r>
        <w:r w:rsidR="009B0114">
          <w:rPr>
            <w:noProof/>
            <w:webHidden/>
          </w:rPr>
          <w:fldChar w:fldCharType="end"/>
        </w:r>
      </w:hyperlink>
    </w:p>
    <w:p w:rsidR="009B0114" w:rsidRDefault="0031724C">
      <w:pPr>
        <w:pStyle w:val="TM2"/>
        <w:tabs>
          <w:tab w:val="left" w:pos="660"/>
          <w:tab w:val="right" w:leader="dot" w:pos="9060"/>
        </w:tabs>
        <w:rPr>
          <w:rFonts w:asciiTheme="minorHAnsi" w:eastAsiaTheme="minorEastAsia" w:hAnsiTheme="minorHAnsi"/>
          <w:noProof/>
          <w:lang w:eastAsia="fr-FR"/>
        </w:rPr>
      </w:pPr>
      <w:hyperlink w:anchor="_Toc452390493" w:history="1">
        <w:r w:rsidR="009B0114" w:rsidRPr="0043213C">
          <w:rPr>
            <w:rStyle w:val="Lienhypertexte"/>
            <w:noProof/>
            <w:lang w:eastAsia="fr-FR"/>
          </w:rPr>
          <w:t>4.</w:t>
        </w:r>
        <w:r w:rsidR="009B0114">
          <w:rPr>
            <w:rFonts w:asciiTheme="minorHAnsi" w:eastAsiaTheme="minorEastAsia" w:hAnsiTheme="minorHAnsi"/>
            <w:noProof/>
            <w:lang w:eastAsia="fr-FR"/>
          </w:rPr>
          <w:tab/>
        </w:r>
        <w:r w:rsidR="009B0114" w:rsidRPr="0043213C">
          <w:rPr>
            <w:rStyle w:val="Lienhypertexte"/>
            <w:noProof/>
            <w:lang w:eastAsia="fr-FR"/>
          </w:rPr>
          <w:t>RAPPEL DE LA REGLEMENTATION APPLICABLE AUX COMPTES CONSOLIDES DES SOCIETES DONT LES TITRES NE SONT PAS ADMIS SUR UN MARCHE REGLEMENTE D’UN ETAT MEMBRE</w:t>
        </w:r>
        <w:r w:rsidR="009B0114">
          <w:rPr>
            <w:noProof/>
            <w:webHidden/>
          </w:rPr>
          <w:tab/>
        </w:r>
        <w:r w:rsidR="009B0114">
          <w:rPr>
            <w:noProof/>
            <w:webHidden/>
          </w:rPr>
          <w:fldChar w:fldCharType="begin"/>
        </w:r>
        <w:r w:rsidR="009B0114">
          <w:rPr>
            <w:noProof/>
            <w:webHidden/>
          </w:rPr>
          <w:instrText xml:space="preserve"> PAGEREF _Toc452390493 \h </w:instrText>
        </w:r>
        <w:r w:rsidR="009B0114">
          <w:rPr>
            <w:noProof/>
            <w:webHidden/>
          </w:rPr>
        </w:r>
        <w:r w:rsidR="009B0114">
          <w:rPr>
            <w:noProof/>
            <w:webHidden/>
          </w:rPr>
          <w:fldChar w:fldCharType="separate"/>
        </w:r>
        <w:r w:rsidR="009B0114">
          <w:rPr>
            <w:noProof/>
            <w:webHidden/>
          </w:rPr>
          <w:t>14</w:t>
        </w:r>
        <w:r w:rsidR="009B0114">
          <w:rPr>
            <w:noProof/>
            <w:webHidden/>
          </w:rPr>
          <w:fldChar w:fldCharType="end"/>
        </w:r>
      </w:hyperlink>
    </w:p>
    <w:p w:rsidR="009B0114" w:rsidRDefault="0031724C">
      <w:pPr>
        <w:pStyle w:val="TM2"/>
        <w:tabs>
          <w:tab w:val="left" w:pos="660"/>
          <w:tab w:val="right" w:leader="dot" w:pos="9060"/>
        </w:tabs>
        <w:rPr>
          <w:rFonts w:asciiTheme="minorHAnsi" w:eastAsiaTheme="minorEastAsia" w:hAnsiTheme="minorHAnsi"/>
          <w:noProof/>
          <w:lang w:eastAsia="fr-FR"/>
        </w:rPr>
      </w:pPr>
      <w:hyperlink w:anchor="_Toc452390494" w:history="1">
        <w:r w:rsidR="009B0114" w:rsidRPr="0043213C">
          <w:rPr>
            <w:rStyle w:val="Lienhypertexte"/>
            <w:noProof/>
            <w:lang w:eastAsia="fr-FR"/>
          </w:rPr>
          <w:t>5.</w:t>
        </w:r>
        <w:r w:rsidR="009B0114">
          <w:rPr>
            <w:rFonts w:asciiTheme="minorHAnsi" w:eastAsiaTheme="minorEastAsia" w:hAnsiTheme="minorHAnsi"/>
            <w:noProof/>
            <w:lang w:eastAsia="fr-FR"/>
          </w:rPr>
          <w:tab/>
        </w:r>
        <w:r w:rsidR="009B0114" w:rsidRPr="0043213C">
          <w:rPr>
            <w:rStyle w:val="Lienhypertexte"/>
            <w:noProof/>
            <w:lang w:eastAsia="fr-FR"/>
          </w:rPr>
          <w:t>MODALITES DE TRANSITION VERS LE REFERENTIEL COMPTABLE CRC 99</w:t>
        </w:r>
        <w:r w:rsidR="009B0114" w:rsidRPr="0043213C">
          <w:rPr>
            <w:rStyle w:val="Lienhypertexte"/>
            <w:noProof/>
            <w:lang w:eastAsia="fr-FR"/>
          </w:rPr>
          <w:noBreakHyphen/>
          <w:t>02</w:t>
        </w:r>
        <w:r w:rsidR="009B0114">
          <w:rPr>
            <w:noProof/>
            <w:webHidden/>
          </w:rPr>
          <w:tab/>
        </w:r>
        <w:r w:rsidR="009B0114">
          <w:rPr>
            <w:noProof/>
            <w:webHidden/>
          </w:rPr>
          <w:fldChar w:fldCharType="begin"/>
        </w:r>
        <w:r w:rsidR="009B0114">
          <w:rPr>
            <w:noProof/>
            <w:webHidden/>
          </w:rPr>
          <w:instrText xml:space="preserve"> PAGEREF _Toc452390494 \h </w:instrText>
        </w:r>
        <w:r w:rsidR="009B0114">
          <w:rPr>
            <w:noProof/>
            <w:webHidden/>
          </w:rPr>
        </w:r>
        <w:r w:rsidR="009B0114">
          <w:rPr>
            <w:noProof/>
            <w:webHidden/>
          </w:rPr>
          <w:fldChar w:fldCharType="separate"/>
        </w:r>
        <w:r w:rsidR="009B0114">
          <w:rPr>
            <w:noProof/>
            <w:webHidden/>
          </w:rPr>
          <w:t>14</w:t>
        </w:r>
        <w:r w:rsidR="009B0114">
          <w:rPr>
            <w:noProof/>
            <w:webHidden/>
          </w:rPr>
          <w:fldChar w:fldCharType="end"/>
        </w:r>
      </w:hyperlink>
    </w:p>
    <w:p w:rsidR="009B0114" w:rsidRDefault="0031724C">
      <w:pPr>
        <w:pStyle w:val="TM2"/>
        <w:tabs>
          <w:tab w:val="left" w:pos="660"/>
          <w:tab w:val="right" w:leader="dot" w:pos="9060"/>
        </w:tabs>
        <w:rPr>
          <w:rFonts w:asciiTheme="minorHAnsi" w:eastAsiaTheme="minorEastAsia" w:hAnsiTheme="minorHAnsi"/>
          <w:noProof/>
          <w:lang w:eastAsia="fr-FR"/>
        </w:rPr>
      </w:pPr>
      <w:hyperlink w:anchor="_Toc452390495" w:history="1">
        <w:r w:rsidR="009B0114" w:rsidRPr="0043213C">
          <w:rPr>
            <w:rStyle w:val="Lienhypertexte"/>
            <w:noProof/>
            <w:lang w:eastAsia="fr-FR"/>
          </w:rPr>
          <w:t>6.</w:t>
        </w:r>
        <w:r w:rsidR="009B0114">
          <w:rPr>
            <w:rFonts w:asciiTheme="minorHAnsi" w:eastAsiaTheme="minorEastAsia" w:hAnsiTheme="minorHAnsi"/>
            <w:noProof/>
            <w:lang w:eastAsia="fr-FR"/>
          </w:rPr>
          <w:tab/>
        </w:r>
        <w:r w:rsidR="009B0114" w:rsidRPr="0043213C">
          <w:rPr>
            <w:rStyle w:val="Lienhypertexte"/>
            <w:noProof/>
            <w:lang w:eastAsia="fr-FR"/>
          </w:rPr>
          <w:t>DATE ET PUBLICITE DE LA DECISION D’APPLIQUER LE REGLEMENT DU CRC 99</w:t>
        </w:r>
        <w:r w:rsidR="009B0114" w:rsidRPr="0043213C">
          <w:rPr>
            <w:rStyle w:val="Lienhypertexte"/>
            <w:noProof/>
            <w:lang w:eastAsia="fr-FR"/>
          </w:rPr>
          <w:noBreakHyphen/>
          <w:t>02</w:t>
        </w:r>
        <w:r w:rsidR="009B0114">
          <w:rPr>
            <w:noProof/>
            <w:webHidden/>
          </w:rPr>
          <w:tab/>
        </w:r>
        <w:r w:rsidR="009B0114">
          <w:rPr>
            <w:noProof/>
            <w:webHidden/>
          </w:rPr>
          <w:fldChar w:fldCharType="begin"/>
        </w:r>
        <w:r w:rsidR="009B0114">
          <w:rPr>
            <w:noProof/>
            <w:webHidden/>
          </w:rPr>
          <w:instrText xml:space="preserve"> PAGEREF _Toc452390495 \h </w:instrText>
        </w:r>
        <w:r w:rsidR="009B0114">
          <w:rPr>
            <w:noProof/>
            <w:webHidden/>
          </w:rPr>
        </w:r>
        <w:r w:rsidR="009B0114">
          <w:rPr>
            <w:noProof/>
            <w:webHidden/>
          </w:rPr>
          <w:fldChar w:fldCharType="separate"/>
        </w:r>
        <w:r w:rsidR="009B0114">
          <w:rPr>
            <w:noProof/>
            <w:webHidden/>
          </w:rPr>
          <w:t>18</w:t>
        </w:r>
        <w:r w:rsidR="009B0114">
          <w:rPr>
            <w:noProof/>
            <w:webHidden/>
          </w:rPr>
          <w:fldChar w:fldCharType="end"/>
        </w:r>
      </w:hyperlink>
    </w:p>
    <w:p w:rsidR="009B0114" w:rsidRDefault="0031724C">
      <w:pPr>
        <w:pStyle w:val="TM2"/>
        <w:tabs>
          <w:tab w:val="left" w:pos="660"/>
          <w:tab w:val="right" w:leader="dot" w:pos="9060"/>
        </w:tabs>
        <w:rPr>
          <w:rFonts w:asciiTheme="minorHAnsi" w:eastAsiaTheme="minorEastAsia" w:hAnsiTheme="minorHAnsi"/>
          <w:noProof/>
          <w:lang w:eastAsia="fr-FR"/>
        </w:rPr>
      </w:pPr>
      <w:hyperlink w:anchor="_Toc452390496" w:history="1">
        <w:r w:rsidR="009B0114" w:rsidRPr="0043213C">
          <w:rPr>
            <w:rStyle w:val="Lienhypertexte"/>
            <w:noProof/>
            <w:lang w:eastAsia="fr-FR"/>
          </w:rPr>
          <w:t>7.</w:t>
        </w:r>
        <w:r w:rsidR="009B0114">
          <w:rPr>
            <w:rFonts w:asciiTheme="minorHAnsi" w:eastAsiaTheme="minorEastAsia" w:hAnsiTheme="minorHAnsi"/>
            <w:noProof/>
            <w:lang w:eastAsia="fr-FR"/>
          </w:rPr>
          <w:tab/>
        </w:r>
        <w:r w:rsidR="009B0114" w:rsidRPr="0043213C">
          <w:rPr>
            <w:rStyle w:val="Lienhypertexte"/>
            <w:noProof/>
            <w:lang w:eastAsia="fr-FR"/>
          </w:rPr>
          <w:t>EXEMPLES DE PRESENTATION DE L’INFORMATION A FOURNIR EN ANNEXE POUR EXPLICITER LE CHANGEMENT DE REGLES COMPTABLES</w:t>
        </w:r>
        <w:r w:rsidR="009B0114">
          <w:rPr>
            <w:noProof/>
            <w:webHidden/>
          </w:rPr>
          <w:tab/>
        </w:r>
        <w:r w:rsidR="009B0114">
          <w:rPr>
            <w:noProof/>
            <w:webHidden/>
          </w:rPr>
          <w:fldChar w:fldCharType="begin"/>
        </w:r>
        <w:r w:rsidR="009B0114">
          <w:rPr>
            <w:noProof/>
            <w:webHidden/>
          </w:rPr>
          <w:instrText xml:space="preserve"> PAGEREF _Toc452390496 \h </w:instrText>
        </w:r>
        <w:r w:rsidR="009B0114">
          <w:rPr>
            <w:noProof/>
            <w:webHidden/>
          </w:rPr>
        </w:r>
        <w:r w:rsidR="009B0114">
          <w:rPr>
            <w:noProof/>
            <w:webHidden/>
          </w:rPr>
          <w:fldChar w:fldCharType="separate"/>
        </w:r>
        <w:r w:rsidR="009B0114">
          <w:rPr>
            <w:noProof/>
            <w:webHidden/>
          </w:rPr>
          <w:t>19</w:t>
        </w:r>
        <w:r w:rsidR="009B0114">
          <w:rPr>
            <w:noProof/>
            <w:webHidden/>
          </w:rPr>
          <w:fldChar w:fldCharType="end"/>
        </w:r>
      </w:hyperlink>
    </w:p>
    <w:p w:rsidR="009B0114" w:rsidRDefault="0031724C">
      <w:pPr>
        <w:pStyle w:val="TM3"/>
        <w:tabs>
          <w:tab w:val="left" w:pos="1100"/>
          <w:tab w:val="right" w:leader="dot" w:pos="9060"/>
        </w:tabs>
        <w:rPr>
          <w:rFonts w:asciiTheme="minorHAnsi" w:eastAsiaTheme="minorEastAsia" w:hAnsiTheme="minorHAnsi"/>
          <w:noProof/>
          <w:lang w:eastAsia="fr-FR"/>
        </w:rPr>
      </w:pPr>
      <w:hyperlink w:anchor="_Toc452390497" w:history="1">
        <w:r w:rsidR="009B0114" w:rsidRPr="0043213C">
          <w:rPr>
            <w:rStyle w:val="Lienhypertexte"/>
            <w:noProof/>
            <w:lang w:eastAsia="fr-FR"/>
          </w:rPr>
          <w:t>7.1.</w:t>
        </w:r>
        <w:r w:rsidR="009B0114">
          <w:rPr>
            <w:rFonts w:asciiTheme="minorHAnsi" w:eastAsiaTheme="minorEastAsia" w:hAnsiTheme="minorHAnsi"/>
            <w:noProof/>
            <w:lang w:eastAsia="fr-FR"/>
          </w:rPr>
          <w:tab/>
        </w:r>
        <w:r w:rsidR="009B0114" w:rsidRPr="0043213C">
          <w:rPr>
            <w:rStyle w:val="Lienhypertexte"/>
            <w:noProof/>
            <w:lang w:eastAsia="fr-FR"/>
          </w:rPr>
          <w:t>Tableau de retraitement du bilan à la date de clôture de l'exercice N-1:</w:t>
        </w:r>
        <w:r w:rsidR="009B0114">
          <w:rPr>
            <w:noProof/>
            <w:webHidden/>
          </w:rPr>
          <w:tab/>
        </w:r>
        <w:r w:rsidR="009B0114">
          <w:rPr>
            <w:noProof/>
            <w:webHidden/>
          </w:rPr>
          <w:fldChar w:fldCharType="begin"/>
        </w:r>
        <w:r w:rsidR="009B0114">
          <w:rPr>
            <w:noProof/>
            <w:webHidden/>
          </w:rPr>
          <w:instrText xml:space="preserve"> PAGEREF _Toc452390497 \h </w:instrText>
        </w:r>
        <w:r w:rsidR="009B0114">
          <w:rPr>
            <w:noProof/>
            <w:webHidden/>
          </w:rPr>
        </w:r>
        <w:r w:rsidR="009B0114">
          <w:rPr>
            <w:noProof/>
            <w:webHidden/>
          </w:rPr>
          <w:fldChar w:fldCharType="separate"/>
        </w:r>
        <w:r w:rsidR="009B0114">
          <w:rPr>
            <w:noProof/>
            <w:webHidden/>
          </w:rPr>
          <w:t>19</w:t>
        </w:r>
        <w:r w:rsidR="009B0114">
          <w:rPr>
            <w:noProof/>
            <w:webHidden/>
          </w:rPr>
          <w:fldChar w:fldCharType="end"/>
        </w:r>
      </w:hyperlink>
    </w:p>
    <w:p w:rsidR="009B0114" w:rsidRDefault="0031724C">
      <w:pPr>
        <w:pStyle w:val="TM3"/>
        <w:tabs>
          <w:tab w:val="left" w:pos="1100"/>
          <w:tab w:val="right" w:leader="dot" w:pos="9060"/>
        </w:tabs>
        <w:rPr>
          <w:rFonts w:asciiTheme="minorHAnsi" w:eastAsiaTheme="minorEastAsia" w:hAnsiTheme="minorHAnsi"/>
          <w:noProof/>
          <w:lang w:eastAsia="fr-FR"/>
        </w:rPr>
      </w:pPr>
      <w:hyperlink w:anchor="_Toc452390498" w:history="1">
        <w:r w:rsidR="009B0114" w:rsidRPr="0043213C">
          <w:rPr>
            <w:rStyle w:val="Lienhypertexte"/>
            <w:noProof/>
            <w:lang w:eastAsia="fr-FR"/>
          </w:rPr>
          <w:t>7.2.</w:t>
        </w:r>
        <w:r w:rsidR="009B0114">
          <w:rPr>
            <w:rFonts w:asciiTheme="minorHAnsi" w:eastAsiaTheme="minorEastAsia" w:hAnsiTheme="minorHAnsi"/>
            <w:noProof/>
            <w:lang w:eastAsia="fr-FR"/>
          </w:rPr>
          <w:tab/>
        </w:r>
        <w:r w:rsidR="009B0114" w:rsidRPr="0043213C">
          <w:rPr>
            <w:rStyle w:val="Lienhypertexte"/>
            <w:noProof/>
            <w:lang w:eastAsia="fr-FR"/>
          </w:rPr>
          <w:t>Tableau de retraitement du compte de résultat à la date de clôture de l'exercice N-1 (classement des charges et produits par nature)</w:t>
        </w:r>
        <w:r w:rsidR="009B0114">
          <w:rPr>
            <w:noProof/>
            <w:webHidden/>
          </w:rPr>
          <w:tab/>
        </w:r>
        <w:r w:rsidR="009B0114">
          <w:rPr>
            <w:noProof/>
            <w:webHidden/>
          </w:rPr>
          <w:fldChar w:fldCharType="begin"/>
        </w:r>
        <w:r w:rsidR="009B0114">
          <w:rPr>
            <w:noProof/>
            <w:webHidden/>
          </w:rPr>
          <w:instrText xml:space="preserve"> PAGEREF _Toc452390498 \h </w:instrText>
        </w:r>
        <w:r w:rsidR="009B0114">
          <w:rPr>
            <w:noProof/>
            <w:webHidden/>
          </w:rPr>
        </w:r>
        <w:r w:rsidR="009B0114">
          <w:rPr>
            <w:noProof/>
            <w:webHidden/>
          </w:rPr>
          <w:fldChar w:fldCharType="separate"/>
        </w:r>
        <w:r w:rsidR="009B0114">
          <w:rPr>
            <w:noProof/>
            <w:webHidden/>
          </w:rPr>
          <w:t>21</w:t>
        </w:r>
        <w:r w:rsidR="009B0114">
          <w:rPr>
            <w:noProof/>
            <w:webHidden/>
          </w:rPr>
          <w:fldChar w:fldCharType="end"/>
        </w:r>
      </w:hyperlink>
    </w:p>
    <w:p w:rsidR="009B0114" w:rsidRDefault="0031724C">
      <w:pPr>
        <w:pStyle w:val="TM3"/>
        <w:tabs>
          <w:tab w:val="left" w:pos="1100"/>
          <w:tab w:val="right" w:leader="dot" w:pos="9060"/>
        </w:tabs>
        <w:rPr>
          <w:rFonts w:asciiTheme="minorHAnsi" w:eastAsiaTheme="minorEastAsia" w:hAnsiTheme="minorHAnsi"/>
          <w:noProof/>
          <w:lang w:eastAsia="fr-FR"/>
        </w:rPr>
      </w:pPr>
      <w:hyperlink w:anchor="_Toc452390499" w:history="1">
        <w:r w:rsidR="009B0114" w:rsidRPr="0043213C">
          <w:rPr>
            <w:rStyle w:val="Lienhypertexte"/>
            <w:noProof/>
            <w:lang w:eastAsia="fr-FR"/>
          </w:rPr>
          <w:t>7.3.</w:t>
        </w:r>
        <w:r w:rsidR="009B0114">
          <w:rPr>
            <w:rFonts w:asciiTheme="minorHAnsi" w:eastAsiaTheme="minorEastAsia" w:hAnsiTheme="minorHAnsi"/>
            <w:noProof/>
            <w:lang w:eastAsia="fr-FR"/>
          </w:rPr>
          <w:tab/>
        </w:r>
        <w:r w:rsidR="009B0114" w:rsidRPr="0043213C">
          <w:rPr>
            <w:rStyle w:val="Lienhypertexte"/>
            <w:noProof/>
            <w:lang w:eastAsia="fr-FR"/>
          </w:rPr>
          <w:t>État de rapprochement des capitaux propres à l'ouverture de l'exercice N-1</w:t>
        </w:r>
        <w:r w:rsidR="009B0114">
          <w:rPr>
            <w:noProof/>
            <w:webHidden/>
          </w:rPr>
          <w:tab/>
        </w:r>
        <w:r w:rsidR="009B0114">
          <w:rPr>
            <w:noProof/>
            <w:webHidden/>
          </w:rPr>
          <w:fldChar w:fldCharType="begin"/>
        </w:r>
        <w:r w:rsidR="009B0114">
          <w:rPr>
            <w:noProof/>
            <w:webHidden/>
          </w:rPr>
          <w:instrText xml:space="preserve"> PAGEREF _Toc452390499 \h </w:instrText>
        </w:r>
        <w:r w:rsidR="009B0114">
          <w:rPr>
            <w:noProof/>
            <w:webHidden/>
          </w:rPr>
        </w:r>
        <w:r w:rsidR="009B0114">
          <w:rPr>
            <w:noProof/>
            <w:webHidden/>
          </w:rPr>
          <w:fldChar w:fldCharType="separate"/>
        </w:r>
        <w:r w:rsidR="009B0114">
          <w:rPr>
            <w:noProof/>
            <w:webHidden/>
          </w:rPr>
          <w:t>22</w:t>
        </w:r>
        <w:r w:rsidR="009B0114">
          <w:rPr>
            <w:noProof/>
            <w:webHidden/>
          </w:rPr>
          <w:fldChar w:fldCharType="end"/>
        </w:r>
      </w:hyperlink>
    </w:p>
    <w:p w:rsidR="009B0114" w:rsidRDefault="0031724C">
      <w:pPr>
        <w:pStyle w:val="TM3"/>
        <w:tabs>
          <w:tab w:val="left" w:pos="1100"/>
          <w:tab w:val="right" w:leader="dot" w:pos="9060"/>
        </w:tabs>
        <w:rPr>
          <w:rFonts w:asciiTheme="minorHAnsi" w:eastAsiaTheme="minorEastAsia" w:hAnsiTheme="minorHAnsi"/>
          <w:noProof/>
          <w:lang w:eastAsia="fr-FR"/>
        </w:rPr>
      </w:pPr>
      <w:hyperlink w:anchor="_Toc452390500" w:history="1">
        <w:r w:rsidR="009B0114" w:rsidRPr="0043213C">
          <w:rPr>
            <w:rStyle w:val="Lienhypertexte"/>
            <w:noProof/>
            <w:lang w:eastAsia="fr-FR"/>
          </w:rPr>
          <w:t>7.4.</w:t>
        </w:r>
        <w:r w:rsidR="009B0114">
          <w:rPr>
            <w:rFonts w:asciiTheme="minorHAnsi" w:eastAsiaTheme="minorEastAsia" w:hAnsiTheme="minorHAnsi"/>
            <w:noProof/>
            <w:lang w:eastAsia="fr-FR"/>
          </w:rPr>
          <w:tab/>
        </w:r>
        <w:r w:rsidR="009B0114" w:rsidRPr="0043213C">
          <w:rPr>
            <w:rStyle w:val="Lienhypertexte"/>
            <w:noProof/>
            <w:lang w:eastAsia="fr-FR"/>
          </w:rPr>
          <w:t>État de rapprochement du résultat N-1</w:t>
        </w:r>
        <w:r w:rsidR="009B0114">
          <w:rPr>
            <w:noProof/>
            <w:webHidden/>
          </w:rPr>
          <w:tab/>
        </w:r>
        <w:r w:rsidR="009B0114">
          <w:rPr>
            <w:noProof/>
            <w:webHidden/>
          </w:rPr>
          <w:fldChar w:fldCharType="begin"/>
        </w:r>
        <w:r w:rsidR="009B0114">
          <w:rPr>
            <w:noProof/>
            <w:webHidden/>
          </w:rPr>
          <w:instrText xml:space="preserve"> PAGEREF _Toc452390500 \h </w:instrText>
        </w:r>
        <w:r w:rsidR="009B0114">
          <w:rPr>
            <w:noProof/>
            <w:webHidden/>
          </w:rPr>
        </w:r>
        <w:r w:rsidR="009B0114">
          <w:rPr>
            <w:noProof/>
            <w:webHidden/>
          </w:rPr>
          <w:fldChar w:fldCharType="separate"/>
        </w:r>
        <w:r w:rsidR="009B0114">
          <w:rPr>
            <w:noProof/>
            <w:webHidden/>
          </w:rPr>
          <w:t>22</w:t>
        </w:r>
        <w:r w:rsidR="009B0114">
          <w:rPr>
            <w:noProof/>
            <w:webHidden/>
          </w:rPr>
          <w:fldChar w:fldCharType="end"/>
        </w:r>
      </w:hyperlink>
    </w:p>
    <w:p w:rsidR="009B0114" w:rsidRDefault="0031724C">
      <w:pPr>
        <w:pStyle w:val="TM3"/>
        <w:tabs>
          <w:tab w:val="left" w:pos="1100"/>
          <w:tab w:val="right" w:leader="dot" w:pos="9060"/>
        </w:tabs>
        <w:rPr>
          <w:rFonts w:asciiTheme="minorHAnsi" w:eastAsiaTheme="minorEastAsia" w:hAnsiTheme="minorHAnsi"/>
          <w:noProof/>
          <w:lang w:eastAsia="fr-FR"/>
        </w:rPr>
      </w:pPr>
      <w:hyperlink w:anchor="_Toc452390501" w:history="1">
        <w:r w:rsidR="009B0114" w:rsidRPr="0043213C">
          <w:rPr>
            <w:rStyle w:val="Lienhypertexte"/>
            <w:noProof/>
            <w:lang w:eastAsia="fr-FR"/>
          </w:rPr>
          <w:t>7.5.</w:t>
        </w:r>
        <w:r w:rsidR="009B0114">
          <w:rPr>
            <w:rFonts w:asciiTheme="minorHAnsi" w:eastAsiaTheme="minorEastAsia" w:hAnsiTheme="minorHAnsi"/>
            <w:noProof/>
            <w:lang w:eastAsia="fr-FR"/>
          </w:rPr>
          <w:tab/>
        </w:r>
        <w:r w:rsidR="009B0114" w:rsidRPr="0043213C">
          <w:rPr>
            <w:rStyle w:val="Lienhypertexte"/>
            <w:noProof/>
            <w:lang w:eastAsia="fr-FR"/>
          </w:rPr>
          <w:t>Exemples d'informations à fournir sur les principaux retraitements</w:t>
        </w:r>
        <w:r w:rsidR="009B0114">
          <w:rPr>
            <w:noProof/>
            <w:webHidden/>
          </w:rPr>
          <w:tab/>
        </w:r>
        <w:r w:rsidR="009B0114">
          <w:rPr>
            <w:noProof/>
            <w:webHidden/>
          </w:rPr>
          <w:fldChar w:fldCharType="begin"/>
        </w:r>
        <w:r w:rsidR="009B0114">
          <w:rPr>
            <w:noProof/>
            <w:webHidden/>
          </w:rPr>
          <w:instrText xml:space="preserve"> PAGEREF _Toc452390501 \h </w:instrText>
        </w:r>
        <w:r w:rsidR="009B0114">
          <w:rPr>
            <w:noProof/>
            <w:webHidden/>
          </w:rPr>
        </w:r>
        <w:r w:rsidR="009B0114">
          <w:rPr>
            <w:noProof/>
            <w:webHidden/>
          </w:rPr>
          <w:fldChar w:fldCharType="separate"/>
        </w:r>
        <w:r w:rsidR="009B0114">
          <w:rPr>
            <w:noProof/>
            <w:webHidden/>
          </w:rPr>
          <w:t>23</w:t>
        </w:r>
        <w:r w:rsidR="009B0114">
          <w:rPr>
            <w:noProof/>
            <w:webHidden/>
          </w:rPr>
          <w:fldChar w:fldCharType="end"/>
        </w:r>
      </w:hyperlink>
    </w:p>
    <w:p w:rsidR="009B0114" w:rsidRDefault="0031724C">
      <w:pPr>
        <w:pStyle w:val="TM2"/>
        <w:tabs>
          <w:tab w:val="left" w:pos="660"/>
          <w:tab w:val="right" w:leader="dot" w:pos="9060"/>
        </w:tabs>
        <w:rPr>
          <w:rFonts w:asciiTheme="minorHAnsi" w:eastAsiaTheme="minorEastAsia" w:hAnsiTheme="minorHAnsi"/>
          <w:noProof/>
          <w:lang w:eastAsia="fr-FR"/>
        </w:rPr>
      </w:pPr>
      <w:hyperlink w:anchor="_Toc452390502" w:history="1">
        <w:r w:rsidR="009B0114" w:rsidRPr="0043213C">
          <w:rPr>
            <w:rStyle w:val="Lienhypertexte"/>
            <w:noProof/>
            <w:lang w:eastAsia="fr-FR"/>
          </w:rPr>
          <w:t>8.</w:t>
        </w:r>
        <w:r w:rsidR="009B0114">
          <w:rPr>
            <w:rFonts w:asciiTheme="minorHAnsi" w:eastAsiaTheme="minorEastAsia" w:hAnsiTheme="minorHAnsi"/>
            <w:noProof/>
            <w:lang w:eastAsia="fr-FR"/>
          </w:rPr>
          <w:tab/>
        </w:r>
        <w:r w:rsidR="009B0114" w:rsidRPr="0043213C">
          <w:rPr>
            <w:rStyle w:val="Lienhypertexte"/>
            <w:noProof/>
            <w:lang w:eastAsia="fr-FR"/>
          </w:rPr>
          <w:t>ANNEXES</w:t>
        </w:r>
        <w:r w:rsidR="009B0114">
          <w:rPr>
            <w:noProof/>
            <w:webHidden/>
          </w:rPr>
          <w:tab/>
        </w:r>
        <w:r w:rsidR="009B0114">
          <w:rPr>
            <w:noProof/>
            <w:webHidden/>
          </w:rPr>
          <w:fldChar w:fldCharType="begin"/>
        </w:r>
        <w:r w:rsidR="009B0114">
          <w:rPr>
            <w:noProof/>
            <w:webHidden/>
          </w:rPr>
          <w:instrText xml:space="preserve"> PAGEREF _Toc452390502 \h </w:instrText>
        </w:r>
        <w:r w:rsidR="009B0114">
          <w:rPr>
            <w:noProof/>
            <w:webHidden/>
          </w:rPr>
        </w:r>
        <w:r w:rsidR="009B0114">
          <w:rPr>
            <w:noProof/>
            <w:webHidden/>
          </w:rPr>
          <w:fldChar w:fldCharType="separate"/>
        </w:r>
        <w:r w:rsidR="009B0114">
          <w:rPr>
            <w:noProof/>
            <w:webHidden/>
          </w:rPr>
          <w:t>23</w:t>
        </w:r>
        <w:r w:rsidR="009B0114">
          <w:rPr>
            <w:noProof/>
            <w:webHidden/>
          </w:rPr>
          <w:fldChar w:fldCharType="end"/>
        </w:r>
      </w:hyperlink>
    </w:p>
    <w:p w:rsidR="009B0114" w:rsidRDefault="009B0114" w:rsidP="009B0114">
      <w:pPr>
        <w:pStyle w:val="TM2"/>
        <w:tabs>
          <w:tab w:val="left" w:pos="660"/>
          <w:tab w:val="right" w:leader="dot" w:pos="9060"/>
        </w:tabs>
        <w:rPr>
          <w:rFonts w:asciiTheme="majorHAnsi" w:eastAsiaTheme="majorEastAsia" w:hAnsiTheme="majorHAnsi" w:cstheme="majorBidi"/>
          <w:b/>
          <w:bCs/>
          <w:color w:val="48213C" w:themeColor="accent1" w:themeShade="BF"/>
          <w:sz w:val="28"/>
          <w:szCs w:val="28"/>
        </w:rPr>
      </w:pPr>
      <w:r>
        <w:rPr>
          <w:rFonts w:asciiTheme="majorHAnsi" w:eastAsiaTheme="majorEastAsia" w:hAnsiTheme="majorHAnsi" w:cstheme="majorBidi"/>
          <w:b/>
          <w:bCs/>
          <w:color w:val="48213C" w:themeColor="accent1" w:themeShade="BF"/>
          <w:sz w:val="28"/>
          <w:szCs w:val="28"/>
        </w:rPr>
        <w:fldChar w:fldCharType="end"/>
      </w:r>
      <w:r>
        <w:rPr>
          <w:rFonts w:asciiTheme="majorHAnsi" w:eastAsiaTheme="majorEastAsia" w:hAnsiTheme="majorHAnsi" w:cstheme="majorBidi"/>
          <w:b/>
          <w:bCs/>
          <w:color w:val="48213C" w:themeColor="accent1" w:themeShade="BF"/>
          <w:sz w:val="28"/>
          <w:szCs w:val="28"/>
        </w:rPr>
        <w:br w:type="page"/>
      </w:r>
    </w:p>
    <w:p w:rsidR="009B0114" w:rsidRDefault="009B0114" w:rsidP="009B0114">
      <w:pPr>
        <w:pStyle w:val="CACTitre1"/>
      </w:pPr>
      <w:bookmarkStart w:id="2" w:name="_Toc452390467"/>
      <w:r>
        <w:lastRenderedPageBreak/>
        <w:t>Présentation des différents marchés de cotation français</w:t>
      </w:r>
      <w:bookmarkEnd w:id="2"/>
    </w:p>
    <w:p w:rsidR="009B0114" w:rsidRDefault="009B0114" w:rsidP="009B0114"/>
    <w:p w:rsidR="009B0114" w:rsidRDefault="009B0114" w:rsidP="009B0114">
      <w:pPr>
        <w:pStyle w:val="CACCorps"/>
      </w:pPr>
      <w:r w:rsidRPr="003E6983">
        <w:rPr>
          <w:b/>
        </w:rPr>
        <w:t>Euronext Paris</w:t>
      </w:r>
      <w:r>
        <w:t xml:space="preserve"> est composé de trois marchés :</w:t>
      </w:r>
    </w:p>
    <w:p w:rsidR="009B0114" w:rsidRDefault="009B0114" w:rsidP="009B0114">
      <w:pPr>
        <w:pStyle w:val="CACCorps"/>
      </w:pPr>
    </w:p>
    <w:p w:rsidR="009B0114" w:rsidRDefault="009B0114" w:rsidP="009B0114">
      <w:pPr>
        <w:pStyle w:val="CACCorps"/>
        <w:numPr>
          <w:ilvl w:val="0"/>
          <w:numId w:val="25"/>
        </w:numPr>
      </w:pPr>
      <w:proofErr w:type="spellStart"/>
      <w:r>
        <w:t>Eurolist</w:t>
      </w:r>
      <w:proofErr w:type="spellEnd"/>
      <w:r>
        <w:t>, le marché réglementé sur lequel sont cotées les sociétés du CAC40 et du SBF120 notamment. Ce marché est lui-même divisé en quatre compartiments :</w:t>
      </w:r>
    </w:p>
    <w:p w:rsidR="009B0114" w:rsidRDefault="009B0114" w:rsidP="009B0114">
      <w:pPr>
        <w:pStyle w:val="CACCorps"/>
        <w:numPr>
          <w:ilvl w:val="1"/>
          <w:numId w:val="25"/>
        </w:numPr>
      </w:pPr>
      <w:r>
        <w:t>Le compartiment A : sociétés dont la capitalisation boursière est supérieure à 1 milliard d’euros ;</w:t>
      </w:r>
    </w:p>
    <w:p w:rsidR="009B0114" w:rsidRDefault="009B0114" w:rsidP="009B0114">
      <w:pPr>
        <w:pStyle w:val="CACCorps"/>
        <w:numPr>
          <w:ilvl w:val="1"/>
          <w:numId w:val="25"/>
        </w:numPr>
      </w:pPr>
      <w:r>
        <w:t>Le compartiment B : sociétés dont la capitalisation boursière est comprise entre 150 millions d’euros et 1 milliard d’euros ;</w:t>
      </w:r>
    </w:p>
    <w:p w:rsidR="009B0114" w:rsidRDefault="009B0114" w:rsidP="009B0114">
      <w:pPr>
        <w:pStyle w:val="CACCorps"/>
        <w:numPr>
          <w:ilvl w:val="1"/>
          <w:numId w:val="25"/>
        </w:numPr>
      </w:pPr>
      <w:r>
        <w:t>Le compartiment C : sociétés dont la capitalisation boursière est inférieure à 150 millions d’euros ;</w:t>
      </w:r>
    </w:p>
    <w:p w:rsidR="009B0114" w:rsidRDefault="009B0114" w:rsidP="009B0114">
      <w:pPr>
        <w:pStyle w:val="CACCorps"/>
        <w:numPr>
          <w:ilvl w:val="1"/>
          <w:numId w:val="25"/>
        </w:numPr>
      </w:pPr>
      <w:r>
        <w:t>Le compartiment professionnel d’Euronext : créé par arrêté du 7/12/07 afin de faciliter les admissions sans offre au public d’instruments financiers émis par des émetteurs internationaux, en provenance de pays émergents. Au titre des allègements retenus pour ce seul compartiment, figure la dispense d’établissement d’une traduction en français du résumé accompagnant le prospectus (art 212-12 II RGAMF et L421-1 I du Cd Mon et Fin).</w:t>
      </w:r>
    </w:p>
    <w:p w:rsidR="009B0114" w:rsidRDefault="009B0114" w:rsidP="009B0114">
      <w:pPr>
        <w:pStyle w:val="CACCorps"/>
      </w:pPr>
    </w:p>
    <w:p w:rsidR="009B0114" w:rsidRDefault="009B0114" w:rsidP="009B0114">
      <w:pPr>
        <w:pStyle w:val="CACCorps"/>
        <w:numPr>
          <w:ilvl w:val="0"/>
          <w:numId w:val="25"/>
        </w:numPr>
      </w:pPr>
      <w:r w:rsidRPr="003E6983">
        <w:rPr>
          <w:b/>
        </w:rPr>
        <w:t>Alternext</w:t>
      </w:r>
      <w:r>
        <w:t xml:space="preserve">, le marché non réglementé mais organisé, ou plus précisément, il s’agit d’un </w:t>
      </w:r>
      <w:r w:rsidRPr="003E6983">
        <w:rPr>
          <w:b/>
        </w:rPr>
        <w:t>système multilatéral de négociation organisé (SMNO)</w:t>
      </w:r>
      <w:r>
        <w:rPr>
          <w:rStyle w:val="Appelnotedebasdep"/>
        </w:rPr>
        <w:footnoteReference w:id="1"/>
      </w:r>
      <w:r>
        <w:t>.</w:t>
      </w:r>
    </w:p>
    <w:p w:rsidR="009B0114" w:rsidRDefault="009B0114" w:rsidP="009B0114">
      <w:pPr>
        <w:pStyle w:val="CACCorps"/>
      </w:pPr>
    </w:p>
    <w:p w:rsidR="009B0114" w:rsidRDefault="009B0114" w:rsidP="009B0114">
      <w:pPr>
        <w:pStyle w:val="CACCorps"/>
        <w:numPr>
          <w:ilvl w:val="0"/>
          <w:numId w:val="25"/>
        </w:numPr>
      </w:pPr>
      <w:r>
        <w:t xml:space="preserve">Et le </w:t>
      </w:r>
      <w:r w:rsidRPr="003E6983">
        <w:rPr>
          <w:b/>
        </w:rPr>
        <w:t>Marché libre ou système multilatéral de négociation (SMN</w:t>
      </w:r>
      <w:r>
        <w:t>).</w:t>
      </w:r>
    </w:p>
    <w:p w:rsidR="009B0114" w:rsidRDefault="009B0114" w:rsidP="009B0114"/>
    <w:p w:rsidR="009B0114" w:rsidRDefault="009B0114" w:rsidP="009B0114">
      <w:pPr>
        <w:pStyle w:val="CACTitre1"/>
        <w:numPr>
          <w:ilvl w:val="0"/>
          <w:numId w:val="4"/>
        </w:numPr>
      </w:pPr>
      <w:bookmarkStart w:id="3" w:name="_Toc224373487"/>
      <w:bookmarkStart w:id="4" w:name="_Toc452390468"/>
      <w:r>
        <w:t>Principales caractéristiques du marché organisé, Alternext</w:t>
      </w:r>
      <w:bookmarkEnd w:id="3"/>
      <w:bookmarkEnd w:id="4"/>
    </w:p>
    <w:p w:rsidR="009B0114" w:rsidRPr="00BA04E1" w:rsidRDefault="009B0114" w:rsidP="009B0114"/>
    <w:p w:rsidR="009B0114" w:rsidRDefault="009B0114" w:rsidP="009B0114">
      <w:pPr>
        <w:pStyle w:val="CACTitre2"/>
      </w:pPr>
      <w:bookmarkStart w:id="5" w:name="_Toc224373488"/>
      <w:bookmarkStart w:id="6" w:name="_Toc452390469"/>
      <w:r>
        <w:t>PRESENTATION D’ALTERNEXT</w:t>
      </w:r>
      <w:bookmarkEnd w:id="5"/>
      <w:bookmarkEnd w:id="6"/>
    </w:p>
    <w:p w:rsidR="009B0114" w:rsidRPr="00BA04E1" w:rsidRDefault="009B0114" w:rsidP="009B0114"/>
    <w:p w:rsidR="009B0114" w:rsidRDefault="009B0114" w:rsidP="009B0114">
      <w:pPr>
        <w:pStyle w:val="CACCorps"/>
      </w:pPr>
      <w:r>
        <w:t>Parmi les sociétés cotées sur Alternext :</w:t>
      </w:r>
    </w:p>
    <w:p w:rsidR="009B0114" w:rsidRDefault="009B0114" w:rsidP="009B0114">
      <w:pPr>
        <w:pStyle w:val="CACCorps"/>
        <w:numPr>
          <w:ilvl w:val="0"/>
          <w:numId w:val="24"/>
        </w:numPr>
      </w:pPr>
      <w:r>
        <w:t xml:space="preserve">certaines ont fait une offre au public, </w:t>
      </w:r>
    </w:p>
    <w:p w:rsidR="009B0114" w:rsidRDefault="009B0114" w:rsidP="009B0114">
      <w:pPr>
        <w:pStyle w:val="CACCorps"/>
        <w:numPr>
          <w:ilvl w:val="0"/>
          <w:numId w:val="24"/>
        </w:numPr>
      </w:pPr>
      <w:r>
        <w:t>d’autres ont fait l’objet d’un placement privé. L’intérêt de cette distinction réside dans les obligations légales et réglementaires propres à l’offre au public.</w:t>
      </w:r>
    </w:p>
    <w:p w:rsidR="009B0114" w:rsidRDefault="009B0114" w:rsidP="009B0114">
      <w:pPr>
        <w:pStyle w:val="CACCorps"/>
      </w:pPr>
    </w:p>
    <w:p w:rsidR="009B0114" w:rsidRDefault="009B0114" w:rsidP="009B0114">
      <w:pPr>
        <w:pStyle w:val="CACCorps"/>
      </w:pPr>
      <w:r>
        <w:t xml:space="preserve">En effet, les sociétés cotées sur Alternext </w:t>
      </w:r>
    </w:p>
    <w:p w:rsidR="009B0114" w:rsidRDefault="009B0114" w:rsidP="009B0114">
      <w:pPr>
        <w:pStyle w:val="CACCorps"/>
        <w:numPr>
          <w:ilvl w:val="0"/>
          <w:numId w:val="26"/>
        </w:numPr>
      </w:pPr>
      <w:r>
        <w:t>qui ont par ailleurs fait une offre au public sont soumises à certaines dispositions légales ou du Règlement général de l’AMF communes aux dispositions applicables aux sociétés cotées sur un marché réglementé ;</w:t>
      </w:r>
    </w:p>
    <w:p w:rsidR="009B0114" w:rsidRDefault="009B0114" w:rsidP="009B0114">
      <w:pPr>
        <w:pStyle w:val="CACCorps"/>
        <w:numPr>
          <w:ilvl w:val="0"/>
          <w:numId w:val="26"/>
        </w:numPr>
      </w:pPr>
      <w:r>
        <w:t>alors que celles cotées sous forme de placement privé, à défaut de dispositions légales particulières, sont soumises aux règles spécifiques à ce marché,</w:t>
      </w:r>
    </w:p>
    <w:p w:rsidR="009B0114" w:rsidRDefault="009B0114" w:rsidP="009B0114">
      <w:pPr>
        <w:pStyle w:val="CACCorps"/>
      </w:pPr>
    </w:p>
    <w:p w:rsidR="009B0114" w:rsidRDefault="009B0114" w:rsidP="009B0114">
      <w:pPr>
        <w:pStyle w:val="CACCorps"/>
      </w:pPr>
      <w:r>
        <w:t xml:space="preserve">Selon le rapport du groupe de travail présidé par JP </w:t>
      </w:r>
      <w:proofErr w:type="spellStart"/>
      <w:r>
        <w:t>Pinatton</w:t>
      </w:r>
      <w:proofErr w:type="spellEnd"/>
      <w:r>
        <w:t xml:space="preserve"> du 6/10/08, Alternext compte 116 sociétés dont 80% ayant choisi le processus d’offre au public.</w:t>
      </w:r>
    </w:p>
    <w:p w:rsidR="009B0114" w:rsidRDefault="009B0114" w:rsidP="009B0114">
      <w:pPr>
        <w:rPr>
          <w:b/>
          <w:bCs/>
        </w:rPr>
      </w:pPr>
    </w:p>
    <w:p w:rsidR="009B0114" w:rsidRDefault="009B0114">
      <w:pPr>
        <w:jc w:val="left"/>
        <w:rPr>
          <w:b/>
          <w:bCs/>
        </w:rPr>
      </w:pPr>
      <w:r>
        <w:rPr>
          <w:b/>
          <w:bCs/>
        </w:rPr>
        <w:br w:type="page"/>
      </w:r>
    </w:p>
    <w:p w:rsidR="009B0114" w:rsidRDefault="009B0114" w:rsidP="009B0114">
      <w:pPr>
        <w:rPr>
          <w:b/>
          <w:bCs/>
        </w:rPr>
      </w:pPr>
    </w:p>
    <w:p w:rsidR="009B0114" w:rsidRDefault="009B0114" w:rsidP="009B0114">
      <w:pPr>
        <w:pStyle w:val="CACTitre2"/>
      </w:pPr>
      <w:bookmarkStart w:id="7" w:name="_Toc224373489"/>
      <w:bookmarkStart w:id="8" w:name="_Toc452390470"/>
      <w:r>
        <w:t>OFFRE AU PUBLIC</w:t>
      </w:r>
      <w:bookmarkEnd w:id="7"/>
      <w:bookmarkEnd w:id="8"/>
    </w:p>
    <w:p w:rsidR="009B0114" w:rsidRDefault="009B0114" w:rsidP="009B0114"/>
    <w:p w:rsidR="009B0114" w:rsidRDefault="009B0114" w:rsidP="009B0114">
      <w:pPr>
        <w:pStyle w:val="CACTitre3"/>
      </w:pPr>
      <w:bookmarkStart w:id="9" w:name="_Toc224373490"/>
      <w:bookmarkStart w:id="10" w:name="_Toc452390471"/>
      <w:r>
        <w:t>Définition de l’offre au public</w:t>
      </w:r>
      <w:bookmarkEnd w:id="9"/>
      <w:bookmarkEnd w:id="10"/>
    </w:p>
    <w:p w:rsidR="009B0114" w:rsidRDefault="009B0114" w:rsidP="009B0114"/>
    <w:p w:rsidR="009B0114" w:rsidRDefault="009B0114" w:rsidP="009B0114">
      <w:pPr>
        <w:pStyle w:val="CACCorps"/>
      </w:pPr>
      <w:r>
        <w:t>L’offre au public de titres financiers (titres de capital ou titres de créances) est constituée par l’une des opérations suivantes (L411-1 du Cd Mon et Fin) :</w:t>
      </w:r>
    </w:p>
    <w:p w:rsidR="009B0114" w:rsidRDefault="009B0114" w:rsidP="009B0114">
      <w:pPr>
        <w:pStyle w:val="CACCorps"/>
        <w:numPr>
          <w:ilvl w:val="0"/>
          <w:numId w:val="27"/>
        </w:numPr>
      </w:pPr>
      <w:r>
        <w:t>une communication adressée sous quelque forme et par quelque moyen que ce soit à des personnes et présentant une information suffisante sur les conditions de l’offre et sur les titres à offrir, de manière à mettre un investisseur en mesure de décider d’acheter ou de souscrire ces titres financiers ;</w:t>
      </w:r>
    </w:p>
    <w:p w:rsidR="009B0114" w:rsidRDefault="009B0114" w:rsidP="009B0114">
      <w:pPr>
        <w:pStyle w:val="CACCorps"/>
        <w:numPr>
          <w:ilvl w:val="0"/>
          <w:numId w:val="27"/>
        </w:numPr>
      </w:pPr>
      <w:r>
        <w:t>un placement de titres financiers par des intermédiaires financiers.</w:t>
      </w:r>
    </w:p>
    <w:p w:rsidR="009B0114" w:rsidRDefault="009B0114" w:rsidP="009B0114">
      <w:pPr>
        <w:pStyle w:val="CACCorps"/>
      </w:pPr>
    </w:p>
    <w:p w:rsidR="009B0114" w:rsidRDefault="009B0114" w:rsidP="009B0114">
      <w:pPr>
        <w:pStyle w:val="CACCorps"/>
      </w:pPr>
      <w:r>
        <w:t>En revanche, sont notamment exclues de l’offre au public (L411-2 du Cd Mon et Fin), les offres qui s’adressent à un cercle restreint d’investisseurs (moins de 100 personnes) ou à des investisseurs qualifiés</w:t>
      </w:r>
      <w:r>
        <w:rPr>
          <w:rStyle w:val="Appelnotedebasdep"/>
          <w:b/>
          <w:bCs/>
        </w:rPr>
        <w:footnoteReference w:id="2"/>
      </w:r>
      <w:r>
        <w:t>, dès lors que ces personnes agissent pour leur propre compte : il s’agit alors de placements dits privés.</w:t>
      </w:r>
    </w:p>
    <w:p w:rsidR="009B0114" w:rsidRDefault="009B0114" w:rsidP="009B0114">
      <w:pPr>
        <w:tabs>
          <w:tab w:val="left" w:pos="5245"/>
        </w:tabs>
        <w:rPr>
          <w:b/>
          <w:bCs/>
        </w:rPr>
      </w:pPr>
    </w:p>
    <w:p w:rsidR="009B0114" w:rsidRDefault="009B0114" w:rsidP="009B0114">
      <w:pPr>
        <w:pStyle w:val="CACTitre3"/>
      </w:pPr>
      <w:bookmarkStart w:id="11" w:name="_Toc224373491"/>
      <w:bookmarkStart w:id="12" w:name="_Toc452390472"/>
      <w:r>
        <w:t>Intérêt de la distinction entre « offre au public » et « placement privé »</w:t>
      </w:r>
      <w:bookmarkEnd w:id="11"/>
      <w:bookmarkEnd w:id="12"/>
    </w:p>
    <w:p w:rsidR="009B0114" w:rsidRDefault="009B0114" w:rsidP="009B0114"/>
    <w:p w:rsidR="009B0114" w:rsidRDefault="009B0114" w:rsidP="009B0114">
      <w:pPr>
        <w:pStyle w:val="CACCorps"/>
      </w:pPr>
      <w:r>
        <w:t>Suite à la suppression de la notion d’appel public à l’épargne (APE) par l’ordonnance n°2009-80 du 22/01/09, les obligations des sociétés dépendent désormais des rubriques suivantes:</w:t>
      </w:r>
    </w:p>
    <w:p w:rsidR="009B0114" w:rsidRDefault="009B0114" w:rsidP="009B0114">
      <w:pPr>
        <w:pStyle w:val="CACCorps"/>
        <w:numPr>
          <w:ilvl w:val="0"/>
          <w:numId w:val="28"/>
        </w:numPr>
      </w:pPr>
      <w:r>
        <w:t>les sociétés  cotées sur un marché réglementé ;</w:t>
      </w:r>
    </w:p>
    <w:p w:rsidR="009B0114" w:rsidRDefault="009B0114" w:rsidP="009B0114">
      <w:pPr>
        <w:pStyle w:val="CACCorps"/>
        <w:numPr>
          <w:ilvl w:val="0"/>
          <w:numId w:val="28"/>
        </w:numPr>
      </w:pPr>
      <w:r>
        <w:t>celles ayant fait une offre au public sur Alternext ;</w:t>
      </w:r>
    </w:p>
    <w:p w:rsidR="009B0114" w:rsidRDefault="009B0114" w:rsidP="009B0114">
      <w:pPr>
        <w:pStyle w:val="CACCorps"/>
        <w:numPr>
          <w:ilvl w:val="0"/>
          <w:numId w:val="28"/>
        </w:numPr>
      </w:pPr>
      <w:r>
        <w:t>celles ayant fait l’objet d’un placement privé sur Alternext ;</w:t>
      </w:r>
    </w:p>
    <w:p w:rsidR="009B0114" w:rsidRDefault="009B0114" w:rsidP="009B0114">
      <w:pPr>
        <w:pStyle w:val="CACCorps"/>
        <w:numPr>
          <w:ilvl w:val="0"/>
          <w:numId w:val="28"/>
        </w:numPr>
      </w:pPr>
      <w:r>
        <w:t>et celles cotées sur le Marché libre.</w:t>
      </w:r>
    </w:p>
    <w:p w:rsidR="009B0114" w:rsidRDefault="009B0114" w:rsidP="009B0114">
      <w:pPr>
        <w:pStyle w:val="CACCorps"/>
      </w:pPr>
    </w:p>
    <w:p w:rsidR="009B0114" w:rsidRDefault="009B0114" w:rsidP="009B0114">
      <w:pPr>
        <w:pStyle w:val="CACCorps"/>
      </w:pPr>
      <w:r>
        <w:t>Autrement dit, les textes applicables aux sociétés cotées sur Alternext sont :</w:t>
      </w:r>
    </w:p>
    <w:p w:rsidR="009B0114" w:rsidRDefault="009B0114" w:rsidP="009B0114">
      <w:pPr>
        <w:pStyle w:val="CACCorps"/>
        <w:numPr>
          <w:ilvl w:val="0"/>
          <w:numId w:val="29"/>
        </w:numPr>
      </w:pPr>
      <w:r>
        <w:t>sur certains points, équivalents selon que la société ait fait l’objet d’une offre au public ou d’un placement privé ;</w:t>
      </w:r>
    </w:p>
    <w:p w:rsidR="009B0114" w:rsidRDefault="009B0114" w:rsidP="009B0114">
      <w:pPr>
        <w:pStyle w:val="CACCorps"/>
        <w:numPr>
          <w:ilvl w:val="0"/>
          <w:numId w:val="29"/>
        </w:numPr>
      </w:pPr>
      <w:r>
        <w:t xml:space="preserve">mais comprennent certaines obligations plus contraignantes pour les sociétés ayant fait une offre au public, par rapport aux obligations des sociétés cotées sur Alternext par placement privé. </w:t>
      </w:r>
    </w:p>
    <w:p w:rsidR="009B0114" w:rsidRDefault="009B0114" w:rsidP="009B0114">
      <w:pPr>
        <w:pStyle w:val="CACCorps"/>
      </w:pPr>
    </w:p>
    <w:p w:rsidR="009B0114" w:rsidRDefault="009B0114" w:rsidP="009B0114">
      <w:pPr>
        <w:pStyle w:val="CACCorps"/>
        <w:rPr>
          <w:i/>
          <w:iCs/>
        </w:rPr>
      </w:pPr>
      <w:r>
        <w:rPr>
          <w:i/>
          <w:iCs/>
        </w:rPr>
        <w:t>Par exemple, les sociétés qui procèdent à une offre au public ont l’obligation d’établir et de diffuser un prospectus, à l’instar des sociétés cotées sur un marché réglementé, alors que celles ayant fait l’objet d’un placement privé en sont dispensées.</w:t>
      </w:r>
    </w:p>
    <w:p w:rsidR="009B0114" w:rsidRDefault="009B0114" w:rsidP="009B0114">
      <w:bookmarkStart w:id="13" w:name="_Toc224373492"/>
    </w:p>
    <w:p w:rsidR="009B0114" w:rsidRDefault="009B0114" w:rsidP="009B0114">
      <w:pPr>
        <w:pStyle w:val="CACTitre2"/>
      </w:pPr>
      <w:bookmarkStart w:id="14" w:name="_Toc452390473"/>
      <w:r>
        <w:t>QUELQUES POINTS COMMUNS ENTRE LE MARCHE REGLEMENTE ET ALTERNEXT</w:t>
      </w:r>
      <w:bookmarkEnd w:id="13"/>
      <w:bookmarkEnd w:id="14"/>
    </w:p>
    <w:p w:rsidR="009B0114" w:rsidRDefault="009B0114" w:rsidP="009B0114"/>
    <w:p w:rsidR="009B0114" w:rsidRDefault="009B0114" w:rsidP="009B0114">
      <w:pPr>
        <w:pStyle w:val="CACTitre3"/>
      </w:pPr>
      <w:bookmarkStart w:id="15" w:name="_Toc224373493"/>
      <w:bookmarkStart w:id="16" w:name="_Toc452390474"/>
      <w:r>
        <w:t>Les relations entre l’AMF et les commissaires aux comptes</w:t>
      </w:r>
      <w:bookmarkEnd w:id="15"/>
      <w:bookmarkEnd w:id="16"/>
      <w:r>
        <w:t xml:space="preserve"> </w:t>
      </w:r>
    </w:p>
    <w:p w:rsidR="009B0114" w:rsidRDefault="009B0114" w:rsidP="009B0114"/>
    <w:p w:rsidR="009B0114" w:rsidRDefault="009B0114" w:rsidP="009B0114">
      <w:pPr>
        <w:pStyle w:val="CACCorps"/>
      </w:pPr>
      <w:r>
        <w:t>Les sociétés cotées sur un marché réglementé et sur Alternext sont concernées par les obligations suivantes (L.621-22 du Cd Mon et Fin dont le nouveau al VI pour Alternext à compter du 01/04/09) :</w:t>
      </w:r>
    </w:p>
    <w:p w:rsidR="009B0114" w:rsidRPr="003E6983" w:rsidRDefault="009B0114" w:rsidP="009B0114">
      <w:pPr>
        <w:pStyle w:val="CACCorps"/>
        <w:numPr>
          <w:ilvl w:val="0"/>
          <w:numId w:val="30"/>
        </w:numPr>
        <w:rPr>
          <w:b/>
          <w:i/>
          <w:iCs/>
          <w:sz w:val="24"/>
        </w:rPr>
      </w:pPr>
      <w:r w:rsidRPr="003E6983">
        <w:rPr>
          <w:rFonts w:cs="Times New Roman"/>
          <w:szCs w:val="20"/>
        </w:rPr>
        <w:t>information de l’AMF des propositions de nomination ou de renouvellement des CAC ;</w:t>
      </w:r>
    </w:p>
    <w:p w:rsidR="009B0114" w:rsidRPr="003E6983" w:rsidRDefault="009B0114" w:rsidP="009B0114">
      <w:pPr>
        <w:pStyle w:val="CACCorps"/>
        <w:numPr>
          <w:ilvl w:val="0"/>
          <w:numId w:val="30"/>
        </w:numPr>
        <w:rPr>
          <w:rFonts w:cs="Times New Roman"/>
          <w:szCs w:val="20"/>
        </w:rPr>
      </w:pPr>
      <w:r w:rsidRPr="003E6983">
        <w:rPr>
          <w:rFonts w:cs="Times New Roman"/>
          <w:szCs w:val="20"/>
        </w:rPr>
        <w:t>possibilité pour l’AMF de demander aux commissaires aux comptes tous renseignements sur les personnes qu'ils contrôlent ;</w:t>
      </w:r>
    </w:p>
    <w:p w:rsidR="009B0114" w:rsidRPr="003E6983" w:rsidRDefault="009B0114" w:rsidP="009B0114">
      <w:pPr>
        <w:pStyle w:val="CACCorps"/>
        <w:numPr>
          <w:ilvl w:val="0"/>
          <w:numId w:val="30"/>
        </w:numPr>
        <w:rPr>
          <w:rFonts w:cs="Times New Roman"/>
          <w:szCs w:val="20"/>
        </w:rPr>
      </w:pPr>
      <w:r w:rsidRPr="003E6983">
        <w:rPr>
          <w:rFonts w:cs="Times New Roman"/>
          <w:szCs w:val="20"/>
        </w:rPr>
        <w:lastRenderedPageBreak/>
        <w:t xml:space="preserve">obligation pour le CAC d’informer l’AMF de tout fait ou décision justifiant leur intention de refuser la certification des comptes ; </w:t>
      </w:r>
    </w:p>
    <w:p w:rsidR="009B0114" w:rsidRPr="003E6983" w:rsidRDefault="009B0114" w:rsidP="009B0114">
      <w:pPr>
        <w:pStyle w:val="CACCorps"/>
        <w:numPr>
          <w:ilvl w:val="0"/>
          <w:numId w:val="30"/>
        </w:numPr>
        <w:rPr>
          <w:rFonts w:cs="Times New Roman"/>
          <w:szCs w:val="20"/>
        </w:rPr>
      </w:pPr>
      <w:r w:rsidRPr="003E6983">
        <w:rPr>
          <w:rFonts w:cs="Times New Roman"/>
          <w:szCs w:val="20"/>
        </w:rPr>
        <w:t>possibilité pour les CAC d’interroger l'AMF sur toute question rencontrée dans l'exercice de leur mission et susceptible d'avoir un effet sur l'information financière de la personne ;</w:t>
      </w:r>
    </w:p>
    <w:p w:rsidR="009B0114" w:rsidRPr="003E6983" w:rsidRDefault="009B0114" w:rsidP="009B0114">
      <w:pPr>
        <w:pStyle w:val="CACCorps"/>
        <w:numPr>
          <w:ilvl w:val="0"/>
          <w:numId w:val="30"/>
        </w:numPr>
        <w:rPr>
          <w:rFonts w:cs="Times New Roman"/>
          <w:szCs w:val="20"/>
        </w:rPr>
      </w:pPr>
      <w:r w:rsidRPr="003E6983">
        <w:rPr>
          <w:rFonts w:cs="Times New Roman"/>
          <w:szCs w:val="20"/>
        </w:rPr>
        <w:t>dans le cadre de la procédure d’alerte, les CAC communiquent à l’AMF copie de l'écrit transmis au président du conseil d'administration ou au directoire (L. 234-1 C.Com), ainsi que les conclusions du rapport spécial qu'ils envisagent de présenter à l'assemblée générale (L. 823-12 et L. 822-15 C.Com).</w:t>
      </w:r>
    </w:p>
    <w:p w:rsidR="009B0114" w:rsidRDefault="009B0114" w:rsidP="009B0114">
      <w:bookmarkStart w:id="17" w:name="_Toc224373494"/>
    </w:p>
    <w:p w:rsidR="009B0114" w:rsidRDefault="009B0114" w:rsidP="009B0114">
      <w:pPr>
        <w:pStyle w:val="CACTitre3"/>
      </w:pPr>
      <w:bookmarkStart w:id="18" w:name="_Toc452390475"/>
      <w:r>
        <w:t>Déclaration des opérations des dirigeants sur les titres de leur société</w:t>
      </w:r>
      <w:bookmarkEnd w:id="17"/>
      <w:bookmarkEnd w:id="18"/>
      <w:r>
        <w:t> </w:t>
      </w:r>
    </w:p>
    <w:p w:rsidR="009B0114" w:rsidRDefault="009B0114" w:rsidP="009B0114"/>
    <w:p w:rsidR="009B0114" w:rsidRDefault="009B0114" w:rsidP="009B0114">
      <w:pPr>
        <w:pStyle w:val="CACCorps"/>
      </w:pPr>
      <w:r>
        <w:t>A compter du 01/04/09, l’obligation pour les dirigeants de déclarer les opérations sur les titres de leur société concerne :</w:t>
      </w:r>
    </w:p>
    <w:p w:rsidR="009B0114" w:rsidRDefault="009B0114" w:rsidP="009B0114">
      <w:pPr>
        <w:pStyle w:val="CACCorps"/>
        <w:numPr>
          <w:ilvl w:val="0"/>
          <w:numId w:val="31"/>
        </w:numPr>
      </w:pPr>
      <w:r>
        <w:t>les sociétés françaises dont les actions sont cotées sur un marché réglementé (et les transactions opérées sur des instruments financiers qui leur sont liés) (art L621-18-2 du code Mon et Fin) ;</w:t>
      </w:r>
    </w:p>
    <w:p w:rsidR="009B0114" w:rsidRDefault="009B0114" w:rsidP="009B0114">
      <w:pPr>
        <w:pStyle w:val="CACCorps"/>
        <w:numPr>
          <w:ilvl w:val="0"/>
          <w:numId w:val="31"/>
        </w:numPr>
      </w:pPr>
      <w:r>
        <w:t>les sociétés dont le siège est situé hors de l’Espace Economique européen et qui ont réalisé une première offre ou admission en France (art L621-18-2 du code Mon et Fin) ;</w:t>
      </w:r>
    </w:p>
    <w:p w:rsidR="009B0114" w:rsidRDefault="009B0114" w:rsidP="009B0114">
      <w:pPr>
        <w:pStyle w:val="CACCorps"/>
        <w:numPr>
          <w:ilvl w:val="0"/>
          <w:numId w:val="31"/>
        </w:numPr>
      </w:pPr>
      <w:r>
        <w:t xml:space="preserve">les sociétés cotées sur Alternext, </w:t>
      </w:r>
    </w:p>
    <w:p w:rsidR="009B0114" w:rsidRDefault="009B0114" w:rsidP="009B0114">
      <w:pPr>
        <w:pStyle w:val="CACCorps"/>
        <w:numPr>
          <w:ilvl w:val="1"/>
          <w:numId w:val="31"/>
        </w:numPr>
      </w:pPr>
      <w:r>
        <w:t xml:space="preserve">qu’elles soient sous le régime de l’offre au public (L621-18-2 Cd Mon et Fin et à la demande d’Euronext, projet de modification du RGAMF art 223-22 al 2) </w:t>
      </w:r>
    </w:p>
    <w:p w:rsidR="009B0114" w:rsidRDefault="009B0114" w:rsidP="009B0114">
      <w:pPr>
        <w:pStyle w:val="CACCorps"/>
        <w:numPr>
          <w:ilvl w:val="1"/>
          <w:numId w:val="31"/>
        </w:numPr>
      </w:pPr>
      <w:r>
        <w:t xml:space="preserve">ou du placement privé (Art 3.1 </w:t>
      </w:r>
      <w:bookmarkStart w:id="19" w:name="OLE_LINK3"/>
      <w:r>
        <w:t>et 4.3 dernier al. des règles de marché d’Alternext</w:t>
      </w:r>
      <w:bookmarkEnd w:id="19"/>
      <w:r>
        <w:t>).</w:t>
      </w:r>
    </w:p>
    <w:p w:rsidR="009B0114" w:rsidRDefault="009B0114" w:rsidP="009B0114">
      <w:pPr>
        <w:pStyle w:val="CACCorps"/>
        <w:tabs>
          <w:tab w:val="left" w:pos="8197"/>
        </w:tabs>
      </w:pPr>
    </w:p>
    <w:p w:rsidR="009B0114" w:rsidRDefault="009B0114" w:rsidP="009B0114">
      <w:pPr>
        <w:pStyle w:val="CACCorps"/>
      </w:pPr>
      <w:r>
        <w:t>Les modalités de déclaration sont inchangées et le seuil de déclenchement de l’obligation de 5 000 euros est maintenu (art 223-23 inchangé dans le projet de RGAMF et 4.3 dernier al. des règles de marché d’Alternext).</w:t>
      </w:r>
    </w:p>
    <w:p w:rsidR="009B0114" w:rsidRDefault="009B0114" w:rsidP="009B0114">
      <w:pPr>
        <w:rPr>
          <w:b/>
          <w:bCs/>
        </w:rPr>
      </w:pPr>
    </w:p>
    <w:p w:rsidR="009B0114" w:rsidRDefault="009B0114" w:rsidP="009B0114">
      <w:pPr>
        <w:pStyle w:val="CACTitre3"/>
      </w:pPr>
      <w:bookmarkStart w:id="20" w:name="_Toc224373495"/>
      <w:bookmarkStart w:id="21" w:name="_Toc452390476"/>
      <w:r>
        <w:t>Obligation d’information permanente</w:t>
      </w:r>
      <w:bookmarkEnd w:id="20"/>
      <w:bookmarkEnd w:id="21"/>
    </w:p>
    <w:p w:rsidR="009B0114" w:rsidRDefault="009B0114" w:rsidP="009B0114"/>
    <w:p w:rsidR="009B0114" w:rsidRDefault="009B0114" w:rsidP="009B0114">
      <w:pPr>
        <w:pStyle w:val="CACCorps"/>
      </w:pPr>
      <w:r>
        <w:t xml:space="preserve">Dans un communiqué du 28/01/09, l’AMF a rappelé que les obligations d’information périodique et permanente des sociétés cotées sur Alternext sont identiques, que les titres aient été admis à la suite d’une offre au public ou d’un placement privé (art 223-1 du projet de RGAMF). Il s’agit des mêmes obligations que celles applicables aux sociétés cotées sur un marché réglementé, </w:t>
      </w:r>
    </w:p>
    <w:p w:rsidR="009B0114" w:rsidRDefault="009B0114" w:rsidP="009B0114">
      <w:pPr>
        <w:pStyle w:val="CACCorps"/>
      </w:pPr>
    </w:p>
    <w:p w:rsidR="009B0114" w:rsidRDefault="009B0114" w:rsidP="009B0114">
      <w:pPr>
        <w:pStyle w:val="CACCorps"/>
      </w:pPr>
      <w:r>
        <w:t>L’obligation d’information permanente correspond à l’obligation de diffuser au public toute information susceptible d’avoir une influence sensible sur le cours de l’instrument financier de l’émetteur.</w:t>
      </w:r>
    </w:p>
    <w:p w:rsidR="009B0114" w:rsidRDefault="009B0114" w:rsidP="009B0114">
      <w:pPr>
        <w:rPr>
          <w:b/>
          <w:bCs/>
        </w:rPr>
      </w:pPr>
    </w:p>
    <w:p w:rsidR="009B0114" w:rsidRDefault="009B0114" w:rsidP="009B0114">
      <w:pPr>
        <w:pStyle w:val="CACTitre3"/>
      </w:pPr>
      <w:bookmarkStart w:id="22" w:name="_Toc224373496"/>
      <w:bookmarkStart w:id="23" w:name="_Toc452390477"/>
      <w:r>
        <w:t>Subdélégation lors des augmentations de capital</w:t>
      </w:r>
      <w:bookmarkEnd w:id="22"/>
      <w:bookmarkEnd w:id="23"/>
    </w:p>
    <w:p w:rsidR="009B0114" w:rsidRDefault="009B0114" w:rsidP="009B0114"/>
    <w:p w:rsidR="009B0114" w:rsidRDefault="009B0114" w:rsidP="009B0114">
      <w:pPr>
        <w:pStyle w:val="CACCorps"/>
      </w:pPr>
      <w:r>
        <w:t>A compter du 01/04/09, les sociétés cotées sur Alternext bénéficient des mêmes possibilités que les SA cotées sur un marché réglementé en matière de délégation de compétence de l’assemblée générale et de subdélégation de cette compétence, dans les limites fixées par l’AG, au profit du directeur général, ou, en accord avec ce dernier, à un ou plusieurs directeurs généraux délégués (L225-129-4 C.Com).</w:t>
      </w:r>
    </w:p>
    <w:p w:rsidR="009B0114" w:rsidRDefault="009B0114" w:rsidP="009B0114"/>
    <w:p w:rsidR="009B0114" w:rsidRDefault="009B0114">
      <w:pPr>
        <w:jc w:val="left"/>
      </w:pPr>
      <w:r>
        <w:br w:type="page"/>
      </w:r>
    </w:p>
    <w:p w:rsidR="009B0114" w:rsidRPr="00BA04E1" w:rsidRDefault="009B0114" w:rsidP="009B0114"/>
    <w:p w:rsidR="009B0114" w:rsidRDefault="009B0114" w:rsidP="009B0114">
      <w:pPr>
        <w:pStyle w:val="CACTitre3"/>
      </w:pPr>
      <w:bookmarkStart w:id="24" w:name="_Toc224373497"/>
      <w:bookmarkStart w:id="25" w:name="_Toc452390478"/>
      <w:r>
        <w:t>Augmentations de capital avec suppression du droit préférentiel de souscription (DPS)</w:t>
      </w:r>
      <w:bookmarkEnd w:id="24"/>
      <w:bookmarkEnd w:id="25"/>
    </w:p>
    <w:p w:rsidR="009B0114" w:rsidRDefault="009B0114" w:rsidP="009B0114"/>
    <w:p w:rsidR="009B0114" w:rsidRPr="003E6983" w:rsidRDefault="009B0114" w:rsidP="009B0114">
      <w:pPr>
        <w:pStyle w:val="CACCorps"/>
      </w:pPr>
      <w:r w:rsidRPr="003E6983">
        <w:t>A l’instar des sociétés cotées sur un marché réglementé et des sociétés cotées sur Alternext sous le régime de l’offre au public, à compter du 01/04/09, les sociétés cotées sur Alternext sous le régime du placement privé, pourront procéder à une augmentation de capital sans droit préférentiel de souscription par placement privé, à l'intention d'investisseurs qualifiés ou d'un cercle restreint d'investisseurs.</w:t>
      </w:r>
    </w:p>
    <w:p w:rsidR="009B0114" w:rsidRPr="003E6983" w:rsidRDefault="009B0114" w:rsidP="009B0114">
      <w:pPr>
        <w:pStyle w:val="CACCorps"/>
        <w:rPr>
          <w:b/>
        </w:rPr>
      </w:pPr>
    </w:p>
    <w:p w:rsidR="009B0114" w:rsidRPr="003E6983" w:rsidRDefault="009B0114" w:rsidP="009B0114">
      <w:pPr>
        <w:pStyle w:val="CACCorps"/>
      </w:pPr>
      <w:r w:rsidRPr="003E6983">
        <w:rPr>
          <w:b/>
        </w:rPr>
        <w:t>Ces augmentations de capital avec suppression du DPS et placement privé sont limitées à 20% du capital social par an (L. 225-136 C.Com et L. 411-2-II Cd Mon et Fin), sans contrainte de délai et soumis à la règle du prix minimum au-delà de 10% du capital (BRDA 3/09 p22).</w:t>
      </w:r>
    </w:p>
    <w:p w:rsidR="009B0114" w:rsidRPr="003E6983" w:rsidRDefault="009B0114" w:rsidP="009B0114">
      <w:pPr>
        <w:pStyle w:val="CACCorps"/>
        <w:rPr>
          <w:i/>
          <w:iCs/>
        </w:rPr>
      </w:pPr>
    </w:p>
    <w:p w:rsidR="009B0114" w:rsidRPr="003E6983" w:rsidRDefault="009B0114" w:rsidP="009B0114">
      <w:pPr>
        <w:pStyle w:val="CACCorps"/>
        <w:rPr>
          <w:i/>
          <w:iCs/>
        </w:rPr>
      </w:pPr>
      <w:r w:rsidRPr="003E6983">
        <w:rPr>
          <w:i/>
          <w:iCs/>
        </w:rPr>
        <w:t>Jusqu’à présent, pour procéder à un placement privé, l’assemblée devait supprimer le DPS en réservant l’opération soit à une ou plusieurs personnes nommément désignées dans la limite de 100, soit à une catégorie de personnes répondant à des caractéristiques fixées par l’AG (L.225-138 C.Com).</w:t>
      </w:r>
    </w:p>
    <w:p w:rsidR="009B0114" w:rsidRDefault="009B0114" w:rsidP="009B0114">
      <w:bookmarkStart w:id="26" w:name="_Toc224373498"/>
    </w:p>
    <w:p w:rsidR="009B0114" w:rsidRDefault="009B0114" w:rsidP="009B0114">
      <w:pPr>
        <w:pStyle w:val="CACTitre2"/>
      </w:pPr>
      <w:bookmarkStart w:id="27" w:name="_Toc452390479"/>
      <w:r>
        <w:t>PRINCIPALES DIFFERENCES ENTRE LE MARCHE REGLEMENTE ET ALTERNEXT</w:t>
      </w:r>
      <w:bookmarkEnd w:id="26"/>
      <w:bookmarkEnd w:id="27"/>
    </w:p>
    <w:p w:rsidR="009B0114" w:rsidRPr="00BA04E1" w:rsidRDefault="009B0114" w:rsidP="009B0114">
      <w:bookmarkStart w:id="28" w:name="OLE_LINK1"/>
    </w:p>
    <w:p w:rsidR="009B0114" w:rsidRDefault="009B0114" w:rsidP="009B0114">
      <w:pPr>
        <w:pStyle w:val="CACTitre3"/>
      </w:pPr>
      <w:bookmarkStart w:id="29" w:name="_Toc224373499"/>
      <w:bookmarkStart w:id="30" w:name="_Toc452390480"/>
      <w:r>
        <w:t>Franchissements de seuils</w:t>
      </w:r>
      <w:bookmarkEnd w:id="29"/>
      <w:bookmarkEnd w:id="30"/>
    </w:p>
    <w:p w:rsidR="009B0114" w:rsidRDefault="009B0114" w:rsidP="009B0114"/>
    <w:bookmarkEnd w:id="28"/>
    <w:p w:rsidR="009B0114" w:rsidRDefault="009B0114" w:rsidP="009B0114">
      <w:pPr>
        <w:pStyle w:val="CACCorps"/>
      </w:pPr>
      <w:r>
        <w:t>La publicité relative aux franchissements de seuils relève des règles d’Alternext (§4.3). Elle concerne le franchissement à la hausse ou à la baisse des seuils de 50% et de 95% du capital ou des droits de vote, dans un délai de 5 jours de bourse suivant celui où il en a connaissance.</w:t>
      </w:r>
    </w:p>
    <w:p w:rsidR="009B0114" w:rsidRDefault="009B0114" w:rsidP="009B0114">
      <w:pPr>
        <w:pStyle w:val="CACCorps"/>
      </w:pPr>
    </w:p>
    <w:p w:rsidR="009B0114" w:rsidRDefault="009B0114" w:rsidP="009B0114">
      <w:pPr>
        <w:pStyle w:val="CACTitre3"/>
      </w:pPr>
      <w:bookmarkStart w:id="31" w:name="_Toc224373500"/>
      <w:bookmarkStart w:id="32" w:name="_Toc452390481"/>
      <w:r>
        <w:t>Information semestrielle et trimestrielle</w:t>
      </w:r>
      <w:bookmarkEnd w:id="31"/>
      <w:bookmarkEnd w:id="32"/>
    </w:p>
    <w:p w:rsidR="009B0114" w:rsidRDefault="009B0114" w:rsidP="009B0114"/>
    <w:p w:rsidR="009B0114" w:rsidRDefault="009B0114" w:rsidP="009B0114">
      <w:pPr>
        <w:pStyle w:val="CACCorps"/>
      </w:pPr>
      <w:r>
        <w:t>Sur Alternext le délai de publication des comptes semestriels est de 4 mois et non de 2 mois comme sur le marché réglementé (§4.2 des règles d’Alternext). En revanche, les règles d’Alternext n’imposent pas la rédaction d’un rapport des CAC sur ces comptes semestriels. Cependant, en pratique, bon nombre de listing sponsors recommandent l’examen limité de ces comptes semestriels.</w:t>
      </w:r>
    </w:p>
    <w:p w:rsidR="009B0114" w:rsidRDefault="009B0114" w:rsidP="009B0114">
      <w:pPr>
        <w:pStyle w:val="CACCorps"/>
      </w:pPr>
    </w:p>
    <w:p w:rsidR="009B0114" w:rsidRDefault="009B0114" w:rsidP="009B0114">
      <w:pPr>
        <w:pStyle w:val="CACCorps"/>
      </w:pPr>
      <w:r>
        <w:t>Sur Alternext, les sociétés n’ont pas à publier une information financière trimestrielle</w:t>
      </w:r>
    </w:p>
    <w:p w:rsidR="009B0114" w:rsidRDefault="009B0114" w:rsidP="009B0114">
      <w:pPr>
        <w:rPr>
          <w:b/>
          <w:bCs/>
        </w:rPr>
      </w:pPr>
    </w:p>
    <w:p w:rsidR="009B0114" w:rsidRDefault="009B0114" w:rsidP="009B0114">
      <w:pPr>
        <w:pStyle w:val="CACTitre3"/>
      </w:pPr>
      <w:bookmarkStart w:id="33" w:name="_Toc224373501"/>
      <w:bookmarkStart w:id="34" w:name="_Toc452390482"/>
      <w:r>
        <w:t>Rapport du Président sur le contrôle interne</w:t>
      </w:r>
      <w:bookmarkEnd w:id="33"/>
      <w:bookmarkEnd w:id="34"/>
    </w:p>
    <w:p w:rsidR="009B0114" w:rsidRDefault="009B0114" w:rsidP="009B0114"/>
    <w:p w:rsidR="009B0114" w:rsidRDefault="009B0114" w:rsidP="009B0114">
      <w:pPr>
        <w:pStyle w:val="CACCorps"/>
      </w:pPr>
      <w:r>
        <w:t>Depuis l’ordonnance ayant supprimé la notion d’Appel public à l’épargne, les sociétés cotées sur Alternext n’ont plus à publier le rapport du Président sur le contrôle interne à compter du 01/04/09 (consultation de place de l’AMF voir BRDA 3/09 p16).</w:t>
      </w:r>
    </w:p>
    <w:p w:rsidR="009B0114" w:rsidRDefault="009B0114" w:rsidP="009B0114">
      <w:pPr>
        <w:pStyle w:val="CACCorps"/>
      </w:pPr>
    </w:p>
    <w:p w:rsidR="009B0114" w:rsidRDefault="009B0114" w:rsidP="009B0114">
      <w:pPr>
        <w:pStyle w:val="CACCorps"/>
      </w:pPr>
      <w:r>
        <w:t>Seules les sociétés françaises cotées sur un marché réglementé doivent publier ce rapport (L225-37, L225-68 et L.225-10-1 C.Com). Cependant, pour les valeurs moyennes et petites (</w:t>
      </w:r>
      <w:proofErr w:type="spellStart"/>
      <w:r>
        <w:t>VaMPs</w:t>
      </w:r>
      <w:proofErr w:type="spellEnd"/>
      <w:r>
        <w:t>) cotées sur ce marché réglementé, l’AMF a publié un Cadre de référence du contrôle interne (Position AMF du 9/01/08).</w:t>
      </w:r>
    </w:p>
    <w:p w:rsidR="009B0114" w:rsidRDefault="009B0114" w:rsidP="009B0114"/>
    <w:p w:rsidR="009B0114" w:rsidRDefault="009B0114">
      <w:pPr>
        <w:jc w:val="left"/>
      </w:pPr>
      <w:r>
        <w:br w:type="page"/>
      </w:r>
    </w:p>
    <w:p w:rsidR="009B0114" w:rsidRPr="00BA04E1" w:rsidRDefault="009B0114" w:rsidP="009B0114"/>
    <w:p w:rsidR="009B0114" w:rsidRDefault="009B0114" w:rsidP="009B0114">
      <w:pPr>
        <w:pStyle w:val="CACTitre3"/>
      </w:pPr>
      <w:bookmarkStart w:id="35" w:name="_Toc224373502"/>
      <w:bookmarkStart w:id="36" w:name="_Toc452390483"/>
      <w:r>
        <w:t>Normes comptables internationales</w:t>
      </w:r>
      <w:bookmarkEnd w:id="35"/>
      <w:bookmarkEnd w:id="36"/>
    </w:p>
    <w:p w:rsidR="009B0114" w:rsidRDefault="009B0114" w:rsidP="009B0114">
      <w:pPr>
        <w:rPr>
          <w:b/>
          <w:bCs/>
        </w:rPr>
      </w:pPr>
    </w:p>
    <w:p w:rsidR="009B0114" w:rsidRDefault="009B0114" w:rsidP="009B0114">
      <w:pPr>
        <w:pStyle w:val="CACCorps"/>
      </w:pPr>
      <w:r>
        <w:t>L’application du référentiel IFRS pour les comptes consolidés des sociétés cotées sur Alternext n’est pas obligatoire mais facultative.</w:t>
      </w:r>
    </w:p>
    <w:p w:rsidR="009B0114" w:rsidRPr="00BA04E1" w:rsidRDefault="009B0114" w:rsidP="009B0114"/>
    <w:p w:rsidR="009B0114" w:rsidRDefault="009B0114" w:rsidP="009B0114">
      <w:pPr>
        <w:pStyle w:val="CACTitre3"/>
      </w:pPr>
      <w:bookmarkStart w:id="37" w:name="_Toc224373503"/>
      <w:bookmarkStart w:id="38" w:name="_Toc452390484"/>
      <w:r>
        <w:t>Les commissaires aux comptes</w:t>
      </w:r>
      <w:bookmarkEnd w:id="37"/>
      <w:bookmarkEnd w:id="38"/>
      <w:r>
        <w:t xml:space="preserve"> </w:t>
      </w:r>
    </w:p>
    <w:p w:rsidR="009B0114" w:rsidRDefault="009B0114" w:rsidP="009B0114"/>
    <w:p w:rsidR="009B0114" w:rsidRDefault="009B0114" w:rsidP="009B0114">
      <w:pPr>
        <w:pStyle w:val="CACTitre4"/>
      </w:pPr>
      <w:bookmarkStart w:id="39" w:name="_Toc224373504"/>
      <w:r>
        <w:t>Nomination</w:t>
      </w:r>
      <w:bookmarkEnd w:id="39"/>
    </w:p>
    <w:p w:rsidR="009B0114" w:rsidRDefault="009B0114" w:rsidP="009B0114"/>
    <w:p w:rsidR="009B0114" w:rsidRDefault="009B0114" w:rsidP="009B0114">
      <w:pPr>
        <w:pStyle w:val="CACCorps"/>
      </w:pPr>
      <w:r>
        <w:t>Lors de la désignation par l’Assemblée générale des commissaires aux comptes proposés par le conseil d’administration (ou conseil de surveillance, voire les actionnaires), dans une société cotée sur Alternext, le directeur général et le directeur général délégué, s'ils sont administrateurs, peuvent prendre part au vote à compter du 01/04/09. Ce n’est pas le cas dans les sociétés cotées sur un marché réglementé (L225-228 C.Com).</w:t>
      </w:r>
    </w:p>
    <w:p w:rsidR="009B0114" w:rsidRDefault="009B0114" w:rsidP="009B0114">
      <w:pPr>
        <w:rPr>
          <w:b/>
          <w:bCs/>
        </w:rPr>
      </w:pPr>
    </w:p>
    <w:p w:rsidR="009B0114" w:rsidRDefault="009B0114" w:rsidP="009B0114">
      <w:pPr>
        <w:pStyle w:val="CACTitre4"/>
      </w:pPr>
      <w:bookmarkStart w:id="40" w:name="_Toc224373505"/>
      <w:r>
        <w:t>Rotation</w:t>
      </w:r>
      <w:bookmarkEnd w:id="40"/>
    </w:p>
    <w:p w:rsidR="009B0114" w:rsidRDefault="009B0114" w:rsidP="009B0114"/>
    <w:p w:rsidR="009B0114" w:rsidRDefault="009B0114" w:rsidP="009B0114">
      <w:pPr>
        <w:pStyle w:val="CACCorps"/>
      </w:pPr>
      <w:r>
        <w:t>Les sociétés cotées sur Alternext ne sont pas concernées par l’interdiction faite aux commissaires aux comptes personnes physiques ainsi qu’aux membres signataires d’une société de commissaires aux comptes de certifier plus de six exercices consécutifs les comptes d’une société (L822-14 C.Com).</w:t>
      </w:r>
    </w:p>
    <w:p w:rsidR="009B0114" w:rsidRDefault="009B0114" w:rsidP="009B0114">
      <w:pPr>
        <w:pStyle w:val="CACCorps"/>
      </w:pPr>
    </w:p>
    <w:p w:rsidR="009B0114" w:rsidRDefault="009B0114" w:rsidP="009B0114">
      <w:pPr>
        <w:pStyle w:val="CACCorps"/>
      </w:pPr>
      <w:r>
        <w:t xml:space="preserve">Cette rotation ne s’applique plus qu’aux sociétés cotées sur un marché réglementé à compter du 01/04/09 et s’applique par ailleurs aux personnes et entités visées à l’article L. 612-1 (personnes morales de droit privé ayant une activité économique dépassant des seuils) et aux associations visées à l’art. L. 612-4 (association subventionnées </w:t>
      </w:r>
      <w:proofErr w:type="spellStart"/>
      <w:r>
        <w:t>au delà</w:t>
      </w:r>
      <w:proofErr w:type="spellEnd"/>
      <w:r>
        <w:t xml:space="preserve"> de seuils) dès lors que ces personnes font appel à la générosité publique.</w:t>
      </w:r>
    </w:p>
    <w:p w:rsidR="009B0114" w:rsidRDefault="009B0114" w:rsidP="009B0114">
      <w:pPr>
        <w:rPr>
          <w:b/>
          <w:bCs/>
        </w:rPr>
      </w:pPr>
    </w:p>
    <w:p w:rsidR="009B0114" w:rsidRDefault="009B0114" w:rsidP="009B0114">
      <w:pPr>
        <w:pStyle w:val="CACTitre4"/>
      </w:pPr>
      <w:bookmarkStart w:id="41" w:name="_Toc224373506"/>
      <w:r>
        <w:t>Publicité des honoraires</w:t>
      </w:r>
      <w:bookmarkEnd w:id="41"/>
    </w:p>
    <w:p w:rsidR="009B0114" w:rsidRDefault="009B0114" w:rsidP="009B0114"/>
    <w:p w:rsidR="009B0114" w:rsidRDefault="009B0114" w:rsidP="009B0114">
      <w:pPr>
        <w:pStyle w:val="CACCorps"/>
      </w:pPr>
      <w:r>
        <w:t>Un projet de modification du règlement général de l’AMF prévoit de limiter l’obligation de publier les honoraires des CAC, par voie de communiqué diffusé en tant qu’information réglementé, aux seules sociétés cotées sur un marché réglementé (art 222-8 du projet de RGAMF).</w:t>
      </w:r>
    </w:p>
    <w:p w:rsidR="009B0114" w:rsidRPr="00BA04E1" w:rsidRDefault="009B0114" w:rsidP="009B0114">
      <w:bookmarkStart w:id="42" w:name="OLE_LINK2"/>
    </w:p>
    <w:p w:rsidR="009B0114" w:rsidRDefault="009B0114" w:rsidP="009B0114">
      <w:pPr>
        <w:pStyle w:val="CACTitre4"/>
      </w:pPr>
      <w:bookmarkStart w:id="43" w:name="_Toc224373507"/>
      <w:r>
        <w:t xml:space="preserve"> Comité spécialisé (ou Comité d’audit)</w:t>
      </w:r>
      <w:bookmarkEnd w:id="43"/>
    </w:p>
    <w:p w:rsidR="009B0114" w:rsidRDefault="009B0114" w:rsidP="009B0114">
      <w:pPr>
        <w:rPr>
          <w:b/>
          <w:bCs/>
        </w:rPr>
      </w:pPr>
    </w:p>
    <w:p w:rsidR="009B0114" w:rsidRDefault="009B0114" w:rsidP="009B0114">
      <w:pPr>
        <w:pStyle w:val="CACCorps"/>
      </w:pPr>
      <w:r>
        <w:t>L’ordonnance n°2008-1278 rend obligatoire la présence d’un Comité spécialisé dans les sociétés cotées sur un marché réglementé, certains établissements de crédit, certaines assurances, certaines mutuelles et certaines institutions de prévoyance (L823-19 C.Com).</w:t>
      </w:r>
    </w:p>
    <w:p w:rsidR="009B0114" w:rsidRDefault="009B0114" w:rsidP="009B0114">
      <w:bookmarkStart w:id="44" w:name="_Toc224373508"/>
      <w:bookmarkEnd w:id="42"/>
    </w:p>
    <w:p w:rsidR="009B0114" w:rsidRDefault="009B0114" w:rsidP="009B0114">
      <w:pPr>
        <w:pStyle w:val="CACTitre1"/>
        <w:numPr>
          <w:ilvl w:val="0"/>
          <w:numId w:val="5"/>
        </w:numPr>
      </w:pPr>
      <w:bookmarkStart w:id="45" w:name="_Toc452390485"/>
      <w:r>
        <w:t>Annexe 1 : Tableau récapitulatif des obligations sur Alternext</w:t>
      </w:r>
      <w:bookmarkEnd w:id="44"/>
      <w:bookmarkEnd w:id="45"/>
      <w:r>
        <w:t xml:space="preserve"> </w:t>
      </w:r>
    </w:p>
    <w:p w:rsidR="009B0114" w:rsidRDefault="009B0114" w:rsidP="009B0114">
      <w:pPr>
        <w:jc w:val="left"/>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65"/>
        <w:gridCol w:w="1564"/>
        <w:gridCol w:w="1364"/>
        <w:gridCol w:w="37"/>
        <w:gridCol w:w="1094"/>
        <w:gridCol w:w="47"/>
        <w:gridCol w:w="1189"/>
        <w:gridCol w:w="23"/>
        <w:gridCol w:w="1207"/>
        <w:gridCol w:w="6"/>
      </w:tblGrid>
      <w:tr w:rsidR="009B0114" w:rsidTr="00B17386">
        <w:trPr>
          <w:gridAfter w:val="1"/>
          <w:wAfter w:w="6" w:type="dxa"/>
          <w:cantSplit/>
          <w:trHeight w:val="410"/>
        </w:trPr>
        <w:tc>
          <w:tcPr>
            <w:tcW w:w="9190" w:type="dxa"/>
            <w:gridSpan w:val="9"/>
          </w:tcPr>
          <w:p w:rsidR="009B0114" w:rsidRDefault="009B0114" w:rsidP="00B17386">
            <w:pPr>
              <w:jc w:val="center"/>
              <w:rPr>
                <w:b/>
                <w:bCs/>
              </w:rPr>
            </w:pPr>
            <w:r>
              <w:rPr>
                <w:b/>
                <w:bCs/>
              </w:rPr>
              <w:lastRenderedPageBreak/>
              <w:t>I. OBLIGATIONS A COMPTER DU 01/04/09</w:t>
            </w:r>
          </w:p>
        </w:tc>
      </w:tr>
      <w:tr w:rsidR="009B0114" w:rsidTr="00B17386">
        <w:trPr>
          <w:cantSplit/>
          <w:trHeight w:val="410"/>
        </w:trPr>
        <w:tc>
          <w:tcPr>
            <w:tcW w:w="2665" w:type="dxa"/>
            <w:vMerge w:val="restart"/>
          </w:tcPr>
          <w:p w:rsidR="009B0114" w:rsidRDefault="009B0114" w:rsidP="00B17386">
            <w:pPr>
              <w:jc w:val="center"/>
            </w:pPr>
            <w:r>
              <w:t>Nature de l’obligation</w:t>
            </w:r>
          </w:p>
        </w:tc>
        <w:tc>
          <w:tcPr>
            <w:tcW w:w="1564" w:type="dxa"/>
            <w:vMerge w:val="restart"/>
          </w:tcPr>
          <w:p w:rsidR="009B0114" w:rsidRDefault="009B0114" w:rsidP="00B17386">
            <w:pPr>
              <w:jc w:val="center"/>
            </w:pPr>
            <w:r>
              <w:t>Marché réglementé</w:t>
            </w:r>
          </w:p>
        </w:tc>
        <w:tc>
          <w:tcPr>
            <w:tcW w:w="2542" w:type="dxa"/>
            <w:gridSpan w:val="4"/>
          </w:tcPr>
          <w:p w:rsidR="009B0114" w:rsidRDefault="009B0114" w:rsidP="00B17386">
            <w:pPr>
              <w:jc w:val="center"/>
            </w:pPr>
            <w:r>
              <w:t>Alternext</w:t>
            </w:r>
          </w:p>
        </w:tc>
        <w:tc>
          <w:tcPr>
            <w:tcW w:w="2425" w:type="dxa"/>
            <w:gridSpan w:val="4"/>
          </w:tcPr>
          <w:p w:rsidR="009B0114" w:rsidRDefault="009B0114" w:rsidP="00B17386">
            <w:pPr>
              <w:ind w:right="4"/>
              <w:jc w:val="center"/>
            </w:pPr>
            <w:r>
              <w:t>Marché libre</w:t>
            </w:r>
          </w:p>
        </w:tc>
      </w:tr>
      <w:tr w:rsidR="009B0114" w:rsidTr="00B17386">
        <w:trPr>
          <w:cantSplit/>
          <w:trHeight w:val="415"/>
        </w:trPr>
        <w:tc>
          <w:tcPr>
            <w:tcW w:w="2665" w:type="dxa"/>
            <w:vMerge/>
          </w:tcPr>
          <w:p w:rsidR="009B0114" w:rsidRDefault="009B0114" w:rsidP="00B17386">
            <w:pPr>
              <w:pStyle w:val="2-Point111-"/>
              <w:spacing w:before="0" w:after="0"/>
              <w:rPr>
                <w:rFonts w:ascii="Helvetica" w:hAnsi="Helvetica"/>
              </w:rPr>
            </w:pPr>
          </w:p>
        </w:tc>
        <w:tc>
          <w:tcPr>
            <w:tcW w:w="1564" w:type="dxa"/>
            <w:vMerge/>
          </w:tcPr>
          <w:p w:rsidR="009B0114" w:rsidRDefault="009B0114" w:rsidP="00B17386">
            <w:pPr>
              <w:jc w:val="center"/>
            </w:pPr>
          </w:p>
        </w:tc>
        <w:tc>
          <w:tcPr>
            <w:tcW w:w="1401" w:type="dxa"/>
            <w:gridSpan w:val="2"/>
          </w:tcPr>
          <w:p w:rsidR="009B0114" w:rsidRDefault="009B0114" w:rsidP="00B17386">
            <w:pPr>
              <w:jc w:val="center"/>
            </w:pPr>
            <w:r>
              <w:t>Offre au public</w:t>
            </w:r>
          </w:p>
        </w:tc>
        <w:tc>
          <w:tcPr>
            <w:tcW w:w="1141" w:type="dxa"/>
            <w:gridSpan w:val="2"/>
          </w:tcPr>
          <w:p w:rsidR="009B0114" w:rsidRDefault="009B0114" w:rsidP="00B17386">
            <w:pPr>
              <w:jc w:val="center"/>
            </w:pPr>
            <w:r>
              <w:t>Placement privé</w:t>
            </w:r>
          </w:p>
        </w:tc>
        <w:tc>
          <w:tcPr>
            <w:tcW w:w="1212" w:type="dxa"/>
            <w:gridSpan w:val="2"/>
          </w:tcPr>
          <w:p w:rsidR="009B0114" w:rsidRDefault="009B0114" w:rsidP="00B17386">
            <w:pPr>
              <w:ind w:right="4"/>
              <w:jc w:val="center"/>
            </w:pPr>
            <w:r>
              <w:t>Offre au public</w:t>
            </w:r>
          </w:p>
        </w:tc>
        <w:tc>
          <w:tcPr>
            <w:tcW w:w="1213" w:type="dxa"/>
            <w:gridSpan w:val="2"/>
          </w:tcPr>
          <w:p w:rsidR="009B0114" w:rsidRDefault="009B0114" w:rsidP="00B17386">
            <w:pPr>
              <w:ind w:right="4"/>
              <w:jc w:val="center"/>
            </w:pPr>
            <w:r>
              <w:t>Placement privé</w:t>
            </w:r>
          </w:p>
        </w:tc>
      </w:tr>
      <w:tr w:rsidR="009B0114" w:rsidTr="00B17386">
        <w:trPr>
          <w:cantSplit/>
        </w:trPr>
        <w:tc>
          <w:tcPr>
            <w:tcW w:w="2665" w:type="dxa"/>
          </w:tcPr>
          <w:p w:rsidR="009B0114" w:rsidRDefault="009B0114" w:rsidP="00B17386">
            <w:r>
              <w:t>Les relations entre l’AMF et les commissaires aux comptes</w:t>
            </w:r>
          </w:p>
        </w:tc>
        <w:tc>
          <w:tcPr>
            <w:tcW w:w="1564" w:type="dxa"/>
          </w:tcPr>
          <w:p w:rsidR="009B0114" w:rsidRDefault="009B0114" w:rsidP="00B17386">
            <w:pPr>
              <w:jc w:val="center"/>
            </w:pPr>
            <w:r>
              <w:t>oui</w:t>
            </w:r>
          </w:p>
        </w:tc>
        <w:tc>
          <w:tcPr>
            <w:tcW w:w="2542" w:type="dxa"/>
            <w:gridSpan w:val="4"/>
          </w:tcPr>
          <w:p w:rsidR="009B0114" w:rsidRDefault="009B0114" w:rsidP="00B17386">
            <w:pPr>
              <w:jc w:val="center"/>
            </w:pPr>
            <w:r>
              <w:t>oui</w:t>
            </w:r>
          </w:p>
        </w:tc>
        <w:tc>
          <w:tcPr>
            <w:tcW w:w="2425" w:type="dxa"/>
            <w:gridSpan w:val="4"/>
          </w:tcPr>
          <w:p w:rsidR="009B0114" w:rsidRDefault="009B0114" w:rsidP="00B17386">
            <w:pPr>
              <w:ind w:right="4"/>
              <w:jc w:val="center"/>
            </w:pPr>
            <w:r>
              <w:t>non sauf si Offre au public de titres financiers</w:t>
            </w:r>
          </w:p>
        </w:tc>
      </w:tr>
      <w:tr w:rsidR="009B0114" w:rsidTr="00B17386">
        <w:trPr>
          <w:cantSplit/>
        </w:trPr>
        <w:tc>
          <w:tcPr>
            <w:tcW w:w="2665" w:type="dxa"/>
          </w:tcPr>
          <w:p w:rsidR="009B0114" w:rsidRDefault="009B0114" w:rsidP="00B17386">
            <w:r>
              <w:t>Déclaration des opérations des dirigeants sur les titres de leur société </w:t>
            </w:r>
          </w:p>
        </w:tc>
        <w:tc>
          <w:tcPr>
            <w:tcW w:w="1564" w:type="dxa"/>
          </w:tcPr>
          <w:p w:rsidR="009B0114" w:rsidRDefault="009B0114" w:rsidP="00B17386">
            <w:pPr>
              <w:jc w:val="center"/>
            </w:pPr>
            <w:r>
              <w:t>oui</w:t>
            </w:r>
          </w:p>
        </w:tc>
        <w:tc>
          <w:tcPr>
            <w:tcW w:w="2542" w:type="dxa"/>
            <w:gridSpan w:val="4"/>
          </w:tcPr>
          <w:p w:rsidR="009B0114" w:rsidRDefault="009B0114" w:rsidP="00B17386">
            <w:pPr>
              <w:jc w:val="center"/>
            </w:pPr>
            <w:r>
              <w:t>oui</w:t>
            </w:r>
          </w:p>
        </w:tc>
        <w:tc>
          <w:tcPr>
            <w:tcW w:w="2425" w:type="dxa"/>
            <w:gridSpan w:val="4"/>
          </w:tcPr>
          <w:p w:rsidR="009B0114" w:rsidRDefault="009B0114" w:rsidP="00B17386">
            <w:pPr>
              <w:ind w:right="4"/>
              <w:jc w:val="center"/>
            </w:pPr>
          </w:p>
        </w:tc>
      </w:tr>
      <w:tr w:rsidR="009B0114" w:rsidTr="00B17386">
        <w:trPr>
          <w:cantSplit/>
        </w:trPr>
        <w:tc>
          <w:tcPr>
            <w:tcW w:w="2665" w:type="dxa"/>
          </w:tcPr>
          <w:p w:rsidR="009B0114" w:rsidRDefault="009B0114" w:rsidP="00B17386">
            <w:r>
              <w:t>Obligation d’information permanente</w:t>
            </w:r>
          </w:p>
        </w:tc>
        <w:tc>
          <w:tcPr>
            <w:tcW w:w="1564" w:type="dxa"/>
          </w:tcPr>
          <w:p w:rsidR="009B0114" w:rsidRDefault="009B0114" w:rsidP="00B17386">
            <w:pPr>
              <w:jc w:val="center"/>
            </w:pPr>
            <w:r>
              <w:t>oui</w:t>
            </w:r>
          </w:p>
        </w:tc>
        <w:tc>
          <w:tcPr>
            <w:tcW w:w="2542" w:type="dxa"/>
            <w:gridSpan w:val="4"/>
          </w:tcPr>
          <w:p w:rsidR="009B0114" w:rsidRDefault="009B0114" w:rsidP="00B17386">
            <w:pPr>
              <w:jc w:val="center"/>
            </w:pPr>
            <w:r>
              <w:t>oui</w:t>
            </w:r>
          </w:p>
        </w:tc>
        <w:tc>
          <w:tcPr>
            <w:tcW w:w="2425" w:type="dxa"/>
            <w:gridSpan w:val="4"/>
          </w:tcPr>
          <w:p w:rsidR="009B0114" w:rsidRDefault="009B0114" w:rsidP="00B17386">
            <w:pPr>
              <w:ind w:right="4"/>
              <w:jc w:val="center"/>
            </w:pPr>
            <w:r>
              <w:t>non sauf si Offre au public de titres financiers</w:t>
            </w:r>
          </w:p>
        </w:tc>
      </w:tr>
      <w:tr w:rsidR="009B0114" w:rsidTr="00B17386">
        <w:trPr>
          <w:cantSplit/>
        </w:trPr>
        <w:tc>
          <w:tcPr>
            <w:tcW w:w="2665" w:type="dxa"/>
          </w:tcPr>
          <w:p w:rsidR="009B0114" w:rsidRDefault="009B0114" w:rsidP="00B17386">
            <w:r>
              <w:t>Subdélégation de compétence lors des augmentations de capital</w:t>
            </w:r>
          </w:p>
        </w:tc>
        <w:tc>
          <w:tcPr>
            <w:tcW w:w="1564" w:type="dxa"/>
          </w:tcPr>
          <w:p w:rsidR="009B0114" w:rsidRDefault="009B0114" w:rsidP="00B17386">
            <w:pPr>
              <w:jc w:val="center"/>
            </w:pPr>
            <w:r>
              <w:t>oui</w:t>
            </w:r>
          </w:p>
        </w:tc>
        <w:tc>
          <w:tcPr>
            <w:tcW w:w="2542" w:type="dxa"/>
            <w:gridSpan w:val="4"/>
          </w:tcPr>
          <w:p w:rsidR="009B0114" w:rsidRDefault="009B0114" w:rsidP="00B17386">
            <w:pPr>
              <w:jc w:val="center"/>
            </w:pPr>
            <w:r>
              <w:t>oui</w:t>
            </w:r>
          </w:p>
        </w:tc>
        <w:tc>
          <w:tcPr>
            <w:tcW w:w="2425" w:type="dxa"/>
            <w:gridSpan w:val="4"/>
          </w:tcPr>
          <w:p w:rsidR="009B0114" w:rsidRDefault="009B0114" w:rsidP="00B17386">
            <w:pPr>
              <w:ind w:right="4"/>
              <w:jc w:val="center"/>
            </w:pPr>
          </w:p>
        </w:tc>
      </w:tr>
      <w:tr w:rsidR="009B0114" w:rsidTr="00B17386">
        <w:trPr>
          <w:cantSplit/>
        </w:trPr>
        <w:tc>
          <w:tcPr>
            <w:tcW w:w="2665" w:type="dxa"/>
          </w:tcPr>
          <w:p w:rsidR="009B0114" w:rsidRDefault="009B0114" w:rsidP="00B17386">
            <w:r>
              <w:t>Augmentations de capital avec suppression du droit préférentiel de souscription</w:t>
            </w:r>
          </w:p>
        </w:tc>
        <w:tc>
          <w:tcPr>
            <w:tcW w:w="1564" w:type="dxa"/>
          </w:tcPr>
          <w:p w:rsidR="009B0114" w:rsidRDefault="009B0114" w:rsidP="00B17386">
            <w:pPr>
              <w:jc w:val="center"/>
            </w:pPr>
            <w:r>
              <w:t>oui</w:t>
            </w:r>
          </w:p>
        </w:tc>
        <w:tc>
          <w:tcPr>
            <w:tcW w:w="2542" w:type="dxa"/>
            <w:gridSpan w:val="4"/>
          </w:tcPr>
          <w:p w:rsidR="009B0114" w:rsidRDefault="009B0114" w:rsidP="00B17386">
            <w:pPr>
              <w:jc w:val="center"/>
            </w:pPr>
            <w:r>
              <w:t>oui</w:t>
            </w:r>
          </w:p>
        </w:tc>
        <w:tc>
          <w:tcPr>
            <w:tcW w:w="2425" w:type="dxa"/>
            <w:gridSpan w:val="4"/>
          </w:tcPr>
          <w:p w:rsidR="009B0114" w:rsidRDefault="009B0114" w:rsidP="00B17386">
            <w:pPr>
              <w:ind w:right="4"/>
              <w:jc w:val="center"/>
            </w:pPr>
          </w:p>
        </w:tc>
      </w:tr>
      <w:tr w:rsidR="009B0114" w:rsidTr="00B17386">
        <w:trPr>
          <w:cantSplit/>
        </w:trPr>
        <w:tc>
          <w:tcPr>
            <w:tcW w:w="2665" w:type="dxa"/>
          </w:tcPr>
          <w:p w:rsidR="009B0114" w:rsidRDefault="009B0114" w:rsidP="00B17386">
            <w:r>
              <w:t>Franchissements de seuils</w:t>
            </w:r>
          </w:p>
        </w:tc>
        <w:tc>
          <w:tcPr>
            <w:tcW w:w="1564" w:type="dxa"/>
          </w:tcPr>
          <w:p w:rsidR="009B0114" w:rsidRDefault="009B0114" w:rsidP="00B17386">
            <w:pPr>
              <w:jc w:val="center"/>
            </w:pPr>
            <w:r>
              <w:t>oui</w:t>
            </w:r>
          </w:p>
        </w:tc>
        <w:tc>
          <w:tcPr>
            <w:tcW w:w="2542" w:type="dxa"/>
            <w:gridSpan w:val="4"/>
          </w:tcPr>
          <w:p w:rsidR="009B0114" w:rsidRDefault="009B0114" w:rsidP="00B17386">
            <w:pPr>
              <w:jc w:val="center"/>
            </w:pPr>
            <w:r>
              <w:t>Seulement pour les seuils de 50 et 95%</w:t>
            </w:r>
          </w:p>
        </w:tc>
        <w:tc>
          <w:tcPr>
            <w:tcW w:w="2425" w:type="dxa"/>
            <w:gridSpan w:val="4"/>
          </w:tcPr>
          <w:p w:rsidR="009B0114" w:rsidRDefault="009B0114" w:rsidP="00B17386">
            <w:pPr>
              <w:ind w:right="4"/>
              <w:jc w:val="center"/>
            </w:pPr>
          </w:p>
        </w:tc>
      </w:tr>
      <w:tr w:rsidR="009B0114" w:rsidTr="00B17386">
        <w:trPr>
          <w:cantSplit/>
        </w:trPr>
        <w:tc>
          <w:tcPr>
            <w:tcW w:w="2665" w:type="dxa"/>
          </w:tcPr>
          <w:p w:rsidR="009B0114" w:rsidRDefault="009B0114" w:rsidP="00B17386">
            <w:r>
              <w:t>Information semestrielle</w:t>
            </w:r>
          </w:p>
        </w:tc>
        <w:tc>
          <w:tcPr>
            <w:tcW w:w="1564" w:type="dxa"/>
          </w:tcPr>
          <w:p w:rsidR="009B0114" w:rsidRDefault="009B0114" w:rsidP="00B17386">
            <w:pPr>
              <w:jc w:val="center"/>
            </w:pPr>
            <w:r>
              <w:t>Oui avec délai de 2 mois</w:t>
            </w:r>
          </w:p>
        </w:tc>
        <w:tc>
          <w:tcPr>
            <w:tcW w:w="2542" w:type="dxa"/>
            <w:gridSpan w:val="4"/>
          </w:tcPr>
          <w:p w:rsidR="009B0114" w:rsidRDefault="009B0114" w:rsidP="00B17386">
            <w:pPr>
              <w:jc w:val="center"/>
            </w:pPr>
            <w:r>
              <w:t>Oui avec délai de 4 mois et examen limité non obligatoire</w:t>
            </w:r>
          </w:p>
        </w:tc>
        <w:tc>
          <w:tcPr>
            <w:tcW w:w="2425" w:type="dxa"/>
            <w:gridSpan w:val="4"/>
          </w:tcPr>
          <w:p w:rsidR="009B0114" w:rsidRDefault="009B0114" w:rsidP="00B17386">
            <w:pPr>
              <w:ind w:right="4"/>
              <w:jc w:val="center"/>
            </w:pPr>
            <w:r>
              <w:t>non sauf si Offre au public de titres financiers</w:t>
            </w:r>
          </w:p>
        </w:tc>
      </w:tr>
      <w:tr w:rsidR="009B0114" w:rsidTr="00B17386">
        <w:trPr>
          <w:cantSplit/>
        </w:trPr>
        <w:tc>
          <w:tcPr>
            <w:tcW w:w="2665" w:type="dxa"/>
          </w:tcPr>
          <w:p w:rsidR="009B0114" w:rsidRDefault="009B0114" w:rsidP="00B17386">
            <w:r>
              <w:t>Information trimestrielle</w:t>
            </w:r>
          </w:p>
        </w:tc>
        <w:tc>
          <w:tcPr>
            <w:tcW w:w="1564" w:type="dxa"/>
          </w:tcPr>
          <w:p w:rsidR="009B0114" w:rsidRDefault="009B0114" w:rsidP="00B17386">
            <w:pPr>
              <w:jc w:val="center"/>
            </w:pPr>
            <w:r>
              <w:t>oui</w:t>
            </w:r>
          </w:p>
        </w:tc>
        <w:tc>
          <w:tcPr>
            <w:tcW w:w="2542" w:type="dxa"/>
            <w:gridSpan w:val="4"/>
          </w:tcPr>
          <w:p w:rsidR="009B0114" w:rsidRDefault="009B0114" w:rsidP="00B17386">
            <w:pPr>
              <w:jc w:val="center"/>
            </w:pPr>
            <w:r>
              <w:t>non</w:t>
            </w:r>
          </w:p>
        </w:tc>
        <w:tc>
          <w:tcPr>
            <w:tcW w:w="2425" w:type="dxa"/>
            <w:gridSpan w:val="4"/>
          </w:tcPr>
          <w:p w:rsidR="009B0114" w:rsidRDefault="009B0114" w:rsidP="00B17386">
            <w:pPr>
              <w:ind w:right="4"/>
              <w:jc w:val="center"/>
            </w:pPr>
            <w:r>
              <w:t>non</w:t>
            </w:r>
          </w:p>
        </w:tc>
      </w:tr>
      <w:tr w:rsidR="009B0114" w:rsidTr="00B17386">
        <w:trPr>
          <w:cantSplit/>
        </w:trPr>
        <w:tc>
          <w:tcPr>
            <w:tcW w:w="2665" w:type="dxa"/>
          </w:tcPr>
          <w:p w:rsidR="009B0114" w:rsidRDefault="009B0114" w:rsidP="00B17386">
            <w:r>
              <w:t>Rapport du Président sur le contrôle interne</w:t>
            </w:r>
          </w:p>
        </w:tc>
        <w:tc>
          <w:tcPr>
            <w:tcW w:w="1564" w:type="dxa"/>
          </w:tcPr>
          <w:p w:rsidR="009B0114" w:rsidRDefault="009B0114" w:rsidP="00B17386">
            <w:pPr>
              <w:jc w:val="center"/>
            </w:pPr>
            <w:r>
              <w:t>oui</w:t>
            </w:r>
          </w:p>
        </w:tc>
        <w:tc>
          <w:tcPr>
            <w:tcW w:w="2542" w:type="dxa"/>
            <w:gridSpan w:val="4"/>
          </w:tcPr>
          <w:p w:rsidR="009B0114" w:rsidRDefault="009B0114" w:rsidP="00B17386">
            <w:pPr>
              <w:jc w:val="center"/>
            </w:pPr>
            <w:r>
              <w:t>non</w:t>
            </w:r>
          </w:p>
        </w:tc>
        <w:tc>
          <w:tcPr>
            <w:tcW w:w="2425" w:type="dxa"/>
            <w:gridSpan w:val="4"/>
          </w:tcPr>
          <w:p w:rsidR="009B0114" w:rsidRDefault="009B0114" w:rsidP="00B17386">
            <w:pPr>
              <w:ind w:right="4"/>
              <w:jc w:val="center"/>
            </w:pPr>
            <w:r>
              <w:t>non</w:t>
            </w:r>
          </w:p>
        </w:tc>
      </w:tr>
      <w:tr w:rsidR="009B0114" w:rsidTr="00B17386">
        <w:trPr>
          <w:cantSplit/>
        </w:trPr>
        <w:tc>
          <w:tcPr>
            <w:tcW w:w="2665" w:type="dxa"/>
          </w:tcPr>
          <w:p w:rsidR="009B0114" w:rsidRDefault="009B0114" w:rsidP="00B17386">
            <w:r>
              <w:t>Application des normes comptables internationales (IFRS) aux comptes consolidés</w:t>
            </w:r>
          </w:p>
        </w:tc>
        <w:tc>
          <w:tcPr>
            <w:tcW w:w="1564" w:type="dxa"/>
          </w:tcPr>
          <w:p w:rsidR="009B0114" w:rsidRDefault="009B0114" w:rsidP="00B17386">
            <w:pPr>
              <w:jc w:val="center"/>
            </w:pPr>
            <w:r>
              <w:t>obligatoire</w:t>
            </w:r>
          </w:p>
        </w:tc>
        <w:tc>
          <w:tcPr>
            <w:tcW w:w="2542" w:type="dxa"/>
            <w:gridSpan w:val="4"/>
          </w:tcPr>
          <w:p w:rsidR="009B0114" w:rsidRDefault="009B0114" w:rsidP="00B17386">
            <w:pPr>
              <w:jc w:val="center"/>
            </w:pPr>
            <w:r>
              <w:t>facultatif</w:t>
            </w:r>
          </w:p>
        </w:tc>
        <w:tc>
          <w:tcPr>
            <w:tcW w:w="2425" w:type="dxa"/>
            <w:gridSpan w:val="4"/>
          </w:tcPr>
          <w:p w:rsidR="009B0114" w:rsidRDefault="009B0114" w:rsidP="00B17386">
            <w:pPr>
              <w:ind w:right="4"/>
              <w:jc w:val="center"/>
            </w:pPr>
            <w:r>
              <w:t>facultatif</w:t>
            </w:r>
          </w:p>
        </w:tc>
      </w:tr>
      <w:tr w:rsidR="009B0114" w:rsidTr="00B17386">
        <w:trPr>
          <w:cantSplit/>
        </w:trPr>
        <w:tc>
          <w:tcPr>
            <w:tcW w:w="2665" w:type="dxa"/>
          </w:tcPr>
          <w:p w:rsidR="009B0114" w:rsidRDefault="009B0114" w:rsidP="00B17386">
            <w:r>
              <w:t>Nomination, rotation et publicité des honoraires des CAC</w:t>
            </w:r>
          </w:p>
        </w:tc>
        <w:tc>
          <w:tcPr>
            <w:tcW w:w="1564" w:type="dxa"/>
          </w:tcPr>
          <w:p w:rsidR="009B0114" w:rsidRDefault="009B0114" w:rsidP="00B17386">
            <w:pPr>
              <w:jc w:val="center"/>
            </w:pPr>
            <w:r>
              <w:t>oui</w:t>
            </w:r>
          </w:p>
        </w:tc>
        <w:tc>
          <w:tcPr>
            <w:tcW w:w="2542" w:type="dxa"/>
            <w:gridSpan w:val="4"/>
          </w:tcPr>
          <w:p w:rsidR="009B0114" w:rsidRDefault="009B0114" w:rsidP="00B17386">
            <w:pPr>
              <w:jc w:val="center"/>
            </w:pPr>
            <w:r>
              <w:t>non</w:t>
            </w:r>
          </w:p>
        </w:tc>
        <w:tc>
          <w:tcPr>
            <w:tcW w:w="2425" w:type="dxa"/>
            <w:gridSpan w:val="4"/>
          </w:tcPr>
          <w:p w:rsidR="009B0114" w:rsidRDefault="009B0114" w:rsidP="00B17386">
            <w:pPr>
              <w:ind w:right="4"/>
              <w:jc w:val="center"/>
            </w:pPr>
            <w:r>
              <w:t>non</w:t>
            </w:r>
          </w:p>
        </w:tc>
      </w:tr>
      <w:tr w:rsidR="009B0114" w:rsidTr="00B17386">
        <w:trPr>
          <w:cantSplit/>
        </w:trPr>
        <w:tc>
          <w:tcPr>
            <w:tcW w:w="2665" w:type="dxa"/>
          </w:tcPr>
          <w:p w:rsidR="009B0114" w:rsidRDefault="009B0114" w:rsidP="00B17386">
            <w:r>
              <w:t>Comité spécialisé</w:t>
            </w:r>
          </w:p>
        </w:tc>
        <w:tc>
          <w:tcPr>
            <w:tcW w:w="1564" w:type="dxa"/>
          </w:tcPr>
          <w:p w:rsidR="009B0114" w:rsidRDefault="009B0114" w:rsidP="00B17386">
            <w:pPr>
              <w:jc w:val="center"/>
            </w:pPr>
            <w:r>
              <w:t>oui</w:t>
            </w:r>
          </w:p>
        </w:tc>
        <w:tc>
          <w:tcPr>
            <w:tcW w:w="2542" w:type="dxa"/>
            <w:gridSpan w:val="4"/>
          </w:tcPr>
          <w:p w:rsidR="009B0114" w:rsidRDefault="009B0114" w:rsidP="00B17386">
            <w:pPr>
              <w:jc w:val="center"/>
            </w:pPr>
            <w:r>
              <w:t>non</w:t>
            </w:r>
          </w:p>
        </w:tc>
        <w:tc>
          <w:tcPr>
            <w:tcW w:w="2425" w:type="dxa"/>
            <w:gridSpan w:val="4"/>
          </w:tcPr>
          <w:p w:rsidR="009B0114" w:rsidRDefault="009B0114" w:rsidP="00B17386">
            <w:pPr>
              <w:ind w:right="4"/>
              <w:jc w:val="center"/>
            </w:pPr>
            <w:r>
              <w:t>non</w:t>
            </w:r>
          </w:p>
        </w:tc>
      </w:tr>
      <w:tr w:rsidR="009B0114" w:rsidTr="00B17386">
        <w:trPr>
          <w:cantSplit/>
          <w:trHeight w:val="410"/>
        </w:trPr>
        <w:tc>
          <w:tcPr>
            <w:tcW w:w="9196" w:type="dxa"/>
            <w:gridSpan w:val="10"/>
          </w:tcPr>
          <w:p w:rsidR="009B0114" w:rsidRPr="00182BA3" w:rsidRDefault="009B0114" w:rsidP="00B17386">
            <w:pPr>
              <w:jc w:val="center"/>
              <w:rPr>
                <w:b/>
                <w:bCs/>
              </w:rPr>
            </w:pPr>
            <w:r>
              <w:t>II. OBLIGATIONS ANTERIEURES AU 01/04/09 :</w:t>
            </w:r>
            <w:r>
              <w:rPr>
                <w:b/>
                <w:bCs/>
              </w:rPr>
              <w:t xml:space="preserve"> </w:t>
            </w:r>
            <w:r>
              <w:rPr>
                <w:b/>
                <w:bCs/>
                <w:i/>
                <w:iCs/>
              </w:rPr>
              <w:t>à suivre suite à la suppression de la notion d’APE</w:t>
            </w:r>
          </w:p>
        </w:tc>
      </w:tr>
      <w:tr w:rsidR="009B0114" w:rsidTr="00B17386">
        <w:trPr>
          <w:cantSplit/>
          <w:trHeight w:val="410"/>
        </w:trPr>
        <w:tc>
          <w:tcPr>
            <w:tcW w:w="2665" w:type="dxa"/>
            <w:vMerge w:val="restart"/>
          </w:tcPr>
          <w:p w:rsidR="009B0114" w:rsidRDefault="009B0114" w:rsidP="00B17386">
            <w:pPr>
              <w:jc w:val="center"/>
              <w:rPr>
                <w:b/>
                <w:bCs/>
              </w:rPr>
            </w:pPr>
            <w:r>
              <w:rPr>
                <w:b/>
                <w:bCs/>
              </w:rPr>
              <w:t>Nature de l’obligation</w:t>
            </w:r>
          </w:p>
        </w:tc>
        <w:tc>
          <w:tcPr>
            <w:tcW w:w="1564" w:type="dxa"/>
            <w:vMerge w:val="restart"/>
          </w:tcPr>
          <w:p w:rsidR="009B0114" w:rsidRDefault="009B0114" w:rsidP="00B17386">
            <w:pPr>
              <w:jc w:val="center"/>
              <w:rPr>
                <w:b/>
                <w:bCs/>
              </w:rPr>
            </w:pPr>
            <w:r>
              <w:rPr>
                <w:b/>
                <w:bCs/>
              </w:rPr>
              <w:t>Marché réglementé</w:t>
            </w:r>
          </w:p>
        </w:tc>
        <w:tc>
          <w:tcPr>
            <w:tcW w:w="2495" w:type="dxa"/>
            <w:gridSpan w:val="3"/>
          </w:tcPr>
          <w:p w:rsidR="009B0114" w:rsidRDefault="009B0114" w:rsidP="00B17386">
            <w:pPr>
              <w:jc w:val="center"/>
              <w:rPr>
                <w:b/>
                <w:bCs/>
              </w:rPr>
            </w:pPr>
            <w:r>
              <w:rPr>
                <w:b/>
                <w:bCs/>
              </w:rPr>
              <w:t>Alternext</w:t>
            </w:r>
          </w:p>
        </w:tc>
        <w:tc>
          <w:tcPr>
            <w:tcW w:w="2472" w:type="dxa"/>
            <w:gridSpan w:val="5"/>
          </w:tcPr>
          <w:p w:rsidR="009B0114" w:rsidRDefault="009B0114" w:rsidP="00B17386">
            <w:pPr>
              <w:jc w:val="center"/>
              <w:rPr>
                <w:b/>
                <w:bCs/>
              </w:rPr>
            </w:pPr>
            <w:r>
              <w:rPr>
                <w:b/>
                <w:bCs/>
              </w:rPr>
              <w:t>Marché libre</w:t>
            </w:r>
          </w:p>
        </w:tc>
      </w:tr>
      <w:tr w:rsidR="009B0114" w:rsidTr="00B17386">
        <w:trPr>
          <w:cantSplit/>
          <w:trHeight w:val="415"/>
        </w:trPr>
        <w:tc>
          <w:tcPr>
            <w:tcW w:w="2665" w:type="dxa"/>
            <w:vMerge/>
          </w:tcPr>
          <w:p w:rsidR="009B0114" w:rsidRDefault="009B0114" w:rsidP="00B17386">
            <w:pPr>
              <w:pStyle w:val="2-Point111-"/>
              <w:spacing w:before="0" w:after="0"/>
              <w:rPr>
                <w:rFonts w:ascii="Helvetica" w:hAnsi="Helvetica"/>
                <w:bCs/>
              </w:rPr>
            </w:pPr>
          </w:p>
        </w:tc>
        <w:tc>
          <w:tcPr>
            <w:tcW w:w="1564" w:type="dxa"/>
            <w:vMerge/>
          </w:tcPr>
          <w:p w:rsidR="009B0114" w:rsidRDefault="009B0114" w:rsidP="00B17386">
            <w:pPr>
              <w:jc w:val="center"/>
              <w:rPr>
                <w:b/>
                <w:bCs/>
              </w:rPr>
            </w:pPr>
          </w:p>
        </w:tc>
        <w:tc>
          <w:tcPr>
            <w:tcW w:w="1364" w:type="dxa"/>
          </w:tcPr>
          <w:p w:rsidR="009B0114" w:rsidRDefault="009B0114" w:rsidP="00B17386">
            <w:pPr>
              <w:jc w:val="center"/>
              <w:rPr>
                <w:b/>
                <w:bCs/>
              </w:rPr>
            </w:pPr>
            <w:r>
              <w:rPr>
                <w:b/>
                <w:bCs/>
              </w:rPr>
              <w:t>APE</w:t>
            </w:r>
          </w:p>
        </w:tc>
        <w:tc>
          <w:tcPr>
            <w:tcW w:w="1131" w:type="dxa"/>
            <w:gridSpan w:val="2"/>
          </w:tcPr>
          <w:p w:rsidR="009B0114" w:rsidRDefault="009B0114" w:rsidP="00B17386">
            <w:pPr>
              <w:jc w:val="center"/>
              <w:rPr>
                <w:b/>
                <w:bCs/>
              </w:rPr>
            </w:pPr>
            <w:r>
              <w:rPr>
                <w:b/>
                <w:bCs/>
              </w:rPr>
              <w:t>Placement privé</w:t>
            </w:r>
          </w:p>
        </w:tc>
        <w:tc>
          <w:tcPr>
            <w:tcW w:w="1236" w:type="dxa"/>
            <w:gridSpan w:val="2"/>
          </w:tcPr>
          <w:p w:rsidR="009B0114" w:rsidRDefault="009B0114" w:rsidP="00B17386">
            <w:pPr>
              <w:jc w:val="center"/>
              <w:rPr>
                <w:b/>
                <w:bCs/>
              </w:rPr>
            </w:pPr>
            <w:r>
              <w:rPr>
                <w:b/>
                <w:bCs/>
              </w:rPr>
              <w:t xml:space="preserve">APE </w:t>
            </w:r>
          </w:p>
        </w:tc>
        <w:tc>
          <w:tcPr>
            <w:tcW w:w="1236" w:type="dxa"/>
            <w:gridSpan w:val="3"/>
          </w:tcPr>
          <w:p w:rsidR="009B0114" w:rsidRDefault="009B0114" w:rsidP="00B17386">
            <w:pPr>
              <w:jc w:val="center"/>
              <w:rPr>
                <w:b/>
                <w:bCs/>
              </w:rPr>
            </w:pPr>
            <w:r>
              <w:rPr>
                <w:b/>
                <w:bCs/>
              </w:rPr>
              <w:t>Placement privé</w:t>
            </w:r>
          </w:p>
        </w:tc>
      </w:tr>
      <w:tr w:rsidR="009B0114" w:rsidTr="00B17386">
        <w:tc>
          <w:tcPr>
            <w:tcW w:w="2665" w:type="dxa"/>
          </w:tcPr>
          <w:p w:rsidR="009B0114" w:rsidRDefault="009B0114" w:rsidP="00B17386">
            <w:r>
              <w:t>Information annuelle :</w:t>
            </w:r>
          </w:p>
          <w:p w:rsidR="009B0114" w:rsidRDefault="009B0114" w:rsidP="009B0114">
            <w:pPr>
              <w:numPr>
                <w:ilvl w:val="0"/>
                <w:numId w:val="23"/>
              </w:numPr>
              <w:jc w:val="left"/>
              <w:rPr>
                <w:b/>
                <w:bCs/>
              </w:rPr>
            </w:pPr>
            <w:r>
              <w:rPr>
                <w:b/>
                <w:bCs/>
              </w:rPr>
              <w:t>Comptes annuels</w:t>
            </w:r>
          </w:p>
          <w:p w:rsidR="009B0114" w:rsidRDefault="009B0114" w:rsidP="009B0114">
            <w:pPr>
              <w:numPr>
                <w:ilvl w:val="0"/>
                <w:numId w:val="23"/>
              </w:numPr>
              <w:jc w:val="left"/>
              <w:rPr>
                <w:b/>
                <w:bCs/>
              </w:rPr>
            </w:pPr>
            <w:r>
              <w:rPr>
                <w:b/>
                <w:bCs/>
              </w:rPr>
              <w:t>Rapport de gestion</w:t>
            </w:r>
          </w:p>
          <w:p w:rsidR="009B0114" w:rsidRDefault="009B0114" w:rsidP="009B0114">
            <w:pPr>
              <w:numPr>
                <w:ilvl w:val="0"/>
                <w:numId w:val="23"/>
              </w:numPr>
              <w:jc w:val="left"/>
              <w:rPr>
                <w:b/>
                <w:bCs/>
              </w:rPr>
            </w:pPr>
            <w:r>
              <w:rPr>
                <w:b/>
                <w:bCs/>
              </w:rPr>
              <w:t>Comptes consolidés</w:t>
            </w:r>
          </w:p>
          <w:p w:rsidR="009B0114" w:rsidRDefault="009B0114" w:rsidP="009B0114">
            <w:pPr>
              <w:numPr>
                <w:ilvl w:val="0"/>
                <w:numId w:val="23"/>
              </w:numPr>
              <w:jc w:val="left"/>
              <w:rPr>
                <w:b/>
                <w:bCs/>
              </w:rPr>
            </w:pPr>
            <w:r>
              <w:rPr>
                <w:b/>
                <w:bCs/>
              </w:rPr>
              <w:t>Rapport sur la gestion du groupe</w:t>
            </w:r>
          </w:p>
          <w:p w:rsidR="009B0114" w:rsidRDefault="009B0114" w:rsidP="009B0114">
            <w:pPr>
              <w:numPr>
                <w:ilvl w:val="0"/>
                <w:numId w:val="23"/>
              </w:numPr>
              <w:jc w:val="left"/>
            </w:pPr>
            <w:r>
              <w:rPr>
                <w:b/>
                <w:bCs/>
              </w:rPr>
              <w:t>Rapports des CAC</w:t>
            </w:r>
          </w:p>
        </w:tc>
        <w:tc>
          <w:tcPr>
            <w:tcW w:w="1564" w:type="dxa"/>
          </w:tcPr>
          <w:p w:rsidR="009B0114" w:rsidRDefault="009B0114" w:rsidP="00B17386">
            <w:pPr>
              <w:jc w:val="center"/>
            </w:pPr>
            <w:r>
              <w:t>oui</w:t>
            </w:r>
          </w:p>
        </w:tc>
        <w:tc>
          <w:tcPr>
            <w:tcW w:w="1364" w:type="dxa"/>
          </w:tcPr>
          <w:p w:rsidR="009B0114" w:rsidRDefault="009B0114" w:rsidP="00B17386">
            <w:pPr>
              <w:jc w:val="center"/>
            </w:pPr>
            <w:r>
              <w:t>oui</w:t>
            </w:r>
          </w:p>
        </w:tc>
        <w:tc>
          <w:tcPr>
            <w:tcW w:w="1131" w:type="dxa"/>
            <w:gridSpan w:val="2"/>
          </w:tcPr>
          <w:p w:rsidR="009B0114" w:rsidRDefault="009B0114" w:rsidP="00B17386">
            <w:pPr>
              <w:jc w:val="center"/>
            </w:pPr>
            <w:r>
              <w:t>oui</w:t>
            </w:r>
          </w:p>
        </w:tc>
        <w:tc>
          <w:tcPr>
            <w:tcW w:w="2472" w:type="dxa"/>
            <w:gridSpan w:val="5"/>
          </w:tcPr>
          <w:p w:rsidR="009B0114" w:rsidRDefault="009B0114" w:rsidP="00B17386">
            <w:pPr>
              <w:jc w:val="center"/>
            </w:pPr>
            <w:r>
              <w:t>Information légale du droit des sociétés si non APE</w:t>
            </w:r>
          </w:p>
        </w:tc>
      </w:tr>
      <w:tr w:rsidR="009B0114" w:rsidTr="00B17386">
        <w:tc>
          <w:tcPr>
            <w:tcW w:w="2665" w:type="dxa"/>
          </w:tcPr>
          <w:p w:rsidR="009B0114" w:rsidRDefault="009B0114" w:rsidP="00B17386">
            <w:r>
              <w:t>Identité des actionnaires</w:t>
            </w:r>
          </w:p>
        </w:tc>
        <w:tc>
          <w:tcPr>
            <w:tcW w:w="1564" w:type="dxa"/>
          </w:tcPr>
          <w:p w:rsidR="009B0114" w:rsidRDefault="009B0114" w:rsidP="00B17386">
            <w:pPr>
              <w:jc w:val="center"/>
            </w:pPr>
            <w:r>
              <w:t>oui</w:t>
            </w:r>
          </w:p>
        </w:tc>
        <w:tc>
          <w:tcPr>
            <w:tcW w:w="1364" w:type="dxa"/>
          </w:tcPr>
          <w:p w:rsidR="009B0114" w:rsidRDefault="009B0114" w:rsidP="00B17386">
            <w:pPr>
              <w:jc w:val="center"/>
            </w:pPr>
            <w:r>
              <w:t>oui</w:t>
            </w:r>
          </w:p>
        </w:tc>
        <w:tc>
          <w:tcPr>
            <w:tcW w:w="1131" w:type="dxa"/>
            <w:gridSpan w:val="2"/>
          </w:tcPr>
          <w:p w:rsidR="009B0114" w:rsidRDefault="009B0114" w:rsidP="00B17386">
            <w:pPr>
              <w:jc w:val="center"/>
            </w:pPr>
            <w:r>
              <w:t>oui</w:t>
            </w:r>
          </w:p>
        </w:tc>
        <w:tc>
          <w:tcPr>
            <w:tcW w:w="2472" w:type="dxa"/>
            <w:gridSpan w:val="5"/>
          </w:tcPr>
          <w:p w:rsidR="009B0114" w:rsidRDefault="009B0114" w:rsidP="00B17386">
            <w:pPr>
              <w:jc w:val="center"/>
            </w:pPr>
          </w:p>
        </w:tc>
      </w:tr>
      <w:tr w:rsidR="009B0114" w:rsidTr="00B17386">
        <w:tc>
          <w:tcPr>
            <w:tcW w:w="2665" w:type="dxa"/>
          </w:tcPr>
          <w:p w:rsidR="009B0114" w:rsidRDefault="009B0114" w:rsidP="00B17386">
            <w:r>
              <w:t>Communiqué sur les honoraires des CAC</w:t>
            </w:r>
          </w:p>
        </w:tc>
        <w:tc>
          <w:tcPr>
            <w:tcW w:w="1564" w:type="dxa"/>
          </w:tcPr>
          <w:p w:rsidR="009B0114" w:rsidRDefault="009B0114" w:rsidP="00B17386">
            <w:pPr>
              <w:jc w:val="center"/>
            </w:pPr>
            <w:r>
              <w:t>oui</w:t>
            </w:r>
          </w:p>
        </w:tc>
        <w:tc>
          <w:tcPr>
            <w:tcW w:w="1364" w:type="dxa"/>
          </w:tcPr>
          <w:p w:rsidR="009B0114" w:rsidRDefault="009B0114" w:rsidP="00B17386">
            <w:pPr>
              <w:jc w:val="center"/>
            </w:pPr>
            <w:r>
              <w:t>oui</w:t>
            </w:r>
          </w:p>
        </w:tc>
        <w:tc>
          <w:tcPr>
            <w:tcW w:w="1131" w:type="dxa"/>
            <w:gridSpan w:val="2"/>
          </w:tcPr>
          <w:p w:rsidR="009B0114" w:rsidRDefault="009B0114" w:rsidP="00B17386">
            <w:pPr>
              <w:jc w:val="center"/>
            </w:pPr>
            <w:r>
              <w:t>non</w:t>
            </w:r>
          </w:p>
        </w:tc>
        <w:tc>
          <w:tcPr>
            <w:tcW w:w="2472" w:type="dxa"/>
            <w:gridSpan w:val="5"/>
          </w:tcPr>
          <w:p w:rsidR="009B0114" w:rsidRDefault="009B0114" w:rsidP="00B17386">
            <w:pPr>
              <w:jc w:val="center"/>
            </w:pPr>
            <w:r>
              <w:t>non sauf si APE</w:t>
            </w:r>
          </w:p>
        </w:tc>
      </w:tr>
    </w:tbl>
    <w:p w:rsidR="009B0114" w:rsidRDefault="009B0114" w:rsidP="009B0114"/>
    <w:p w:rsidR="009B0114" w:rsidRDefault="009B0114" w:rsidP="009B0114">
      <w:pPr>
        <w:pStyle w:val="CACTitre1"/>
        <w:numPr>
          <w:ilvl w:val="0"/>
          <w:numId w:val="32"/>
        </w:numPr>
      </w:pPr>
      <w:bookmarkStart w:id="46" w:name="_Toc224373509"/>
      <w:bookmarkStart w:id="47" w:name="_Toc452390486"/>
      <w:r>
        <w:t>Annexe 2 : Investisseurs qualifiés</w:t>
      </w:r>
      <w:bookmarkEnd w:id="46"/>
      <w:bookmarkEnd w:id="47"/>
    </w:p>
    <w:p w:rsidR="009B0114" w:rsidRDefault="009B0114" w:rsidP="009B0114">
      <w:pPr>
        <w:rPr>
          <w:u w:val="single"/>
        </w:rPr>
      </w:pPr>
    </w:p>
    <w:p w:rsidR="009B0114" w:rsidRDefault="009B0114" w:rsidP="009B0114">
      <w:pPr>
        <w:pStyle w:val="CACTitre2"/>
      </w:pPr>
      <w:bookmarkStart w:id="48" w:name="_Toc452390487"/>
      <w:r>
        <w:t>ARTICLE D411-1 DU CODE MONETAIRE ET FINANCIER</w:t>
      </w:r>
      <w:bookmarkEnd w:id="48"/>
    </w:p>
    <w:p w:rsidR="009B0114" w:rsidRDefault="009B0114" w:rsidP="009B0114">
      <w:pPr>
        <w:pStyle w:val="CACCorps"/>
      </w:pPr>
    </w:p>
    <w:p w:rsidR="009B0114" w:rsidRPr="003E6983" w:rsidRDefault="009B0114" w:rsidP="009B0114">
      <w:pPr>
        <w:pStyle w:val="CACCorps"/>
      </w:pPr>
      <w:r w:rsidRPr="003E6983">
        <w:t xml:space="preserve">I. - Ont la qualité d'investisseurs qualifiés au sens de l'article L. 411-2 lorsqu'ils agissent pour compte propre : </w:t>
      </w:r>
    </w:p>
    <w:p w:rsidR="009B0114" w:rsidRDefault="009B0114" w:rsidP="009B0114">
      <w:pPr>
        <w:pStyle w:val="CACCorps"/>
        <w:ind w:left="708"/>
      </w:pPr>
    </w:p>
    <w:p w:rsidR="009B0114" w:rsidRPr="003E6983" w:rsidRDefault="009B0114" w:rsidP="009B0114">
      <w:pPr>
        <w:pStyle w:val="CACCorps"/>
        <w:ind w:left="708"/>
      </w:pPr>
      <w:r w:rsidRPr="003E6983">
        <w:t xml:space="preserve">1° Les établissements de crédit mentionnés à l'article L. 511-9 ; </w:t>
      </w:r>
    </w:p>
    <w:p w:rsidR="009B0114" w:rsidRDefault="009B0114" w:rsidP="009B0114">
      <w:pPr>
        <w:pStyle w:val="CACCorps"/>
        <w:ind w:left="708"/>
      </w:pPr>
    </w:p>
    <w:p w:rsidR="009B0114" w:rsidRPr="003E6983" w:rsidRDefault="009B0114" w:rsidP="009B0114">
      <w:pPr>
        <w:pStyle w:val="CACCorps"/>
        <w:ind w:left="708"/>
      </w:pPr>
      <w:r w:rsidRPr="003E6983">
        <w:t xml:space="preserve">2° L'Etat, la Caisse de la dette publique, la Caisse d'amortissement de la dette sociale, la Banque de France, l'Institut d'émission des départements d'outre-mer, l'Institut d'émission d'outre-mer et la Caisse des dépôts et consignations ; </w:t>
      </w:r>
    </w:p>
    <w:p w:rsidR="009B0114" w:rsidRDefault="009B0114" w:rsidP="009B0114">
      <w:pPr>
        <w:pStyle w:val="CACCorps"/>
        <w:ind w:left="708"/>
      </w:pPr>
    </w:p>
    <w:p w:rsidR="009B0114" w:rsidRPr="003E6983" w:rsidRDefault="009B0114" w:rsidP="009B0114">
      <w:pPr>
        <w:pStyle w:val="CACCorps"/>
        <w:ind w:left="708"/>
      </w:pPr>
      <w:r w:rsidRPr="003E6983">
        <w:t xml:space="preserve">3° Les entreprises d'investissement mentionnées à l'article L. 531-4 ; </w:t>
      </w:r>
    </w:p>
    <w:p w:rsidR="009B0114" w:rsidRDefault="009B0114" w:rsidP="009B0114">
      <w:pPr>
        <w:pStyle w:val="CACCorps"/>
        <w:ind w:left="708"/>
      </w:pPr>
    </w:p>
    <w:p w:rsidR="009B0114" w:rsidRPr="003E6983" w:rsidRDefault="009B0114" w:rsidP="009B0114">
      <w:pPr>
        <w:pStyle w:val="CACCorps"/>
        <w:ind w:left="708"/>
      </w:pPr>
      <w:r w:rsidRPr="003E6983">
        <w:t>4° Les sociétés d'investissement mentionnées à l'article 6 de l'ordonnance du 2</w:t>
      </w:r>
      <w:r>
        <w:t> </w:t>
      </w:r>
      <w:r w:rsidRPr="003E6983">
        <w:t>novembre</w:t>
      </w:r>
      <w:r>
        <w:t> </w:t>
      </w:r>
      <w:r w:rsidRPr="003E6983">
        <w:t xml:space="preserve">1945 ; </w:t>
      </w:r>
    </w:p>
    <w:p w:rsidR="009B0114" w:rsidRDefault="009B0114" w:rsidP="009B0114">
      <w:pPr>
        <w:pStyle w:val="CACCorps"/>
        <w:ind w:left="708"/>
      </w:pPr>
    </w:p>
    <w:p w:rsidR="009B0114" w:rsidRPr="003E6983" w:rsidRDefault="009B0114" w:rsidP="009B0114">
      <w:pPr>
        <w:pStyle w:val="CACCorps"/>
        <w:ind w:left="708"/>
      </w:pPr>
      <w:r w:rsidRPr="003E6983">
        <w:t xml:space="preserve">5° Les organismes de placement collectif mentionnés à l'article L. 214-1 et les sociétés de gestion d'organisme de placement collectif mentionnées à l'article L. 543-1 ; </w:t>
      </w:r>
    </w:p>
    <w:p w:rsidR="009B0114" w:rsidRDefault="009B0114" w:rsidP="009B0114">
      <w:pPr>
        <w:pStyle w:val="CACCorps"/>
        <w:ind w:left="708"/>
      </w:pPr>
    </w:p>
    <w:p w:rsidR="009B0114" w:rsidRPr="003E6983" w:rsidRDefault="009B0114" w:rsidP="009B0114">
      <w:pPr>
        <w:pStyle w:val="CACCorps"/>
        <w:ind w:left="708"/>
      </w:pPr>
      <w:r w:rsidRPr="003E6983">
        <w:t xml:space="preserve">6° Les entreprises d'assurance et de réassurance mentionnées respectivement au premier alinéa de l'article L. 310-1 et à l'article L. 310-1-1 du code des assurances, les sociétés de groupe d'assurance mentionnées à l'article L. 322-1-2 du même code, les mutuelles et unions de mutuelles relevant du livre II du code de la mutualité autres que celles mentionnées à l'article L. 510-2 du même code, ainsi que les institutions de prévoyance régies par le livre IX du code de la sécurité sociale ; </w:t>
      </w:r>
    </w:p>
    <w:p w:rsidR="009B0114" w:rsidRDefault="009B0114" w:rsidP="009B0114">
      <w:pPr>
        <w:pStyle w:val="CACCorps"/>
        <w:ind w:left="708"/>
      </w:pPr>
    </w:p>
    <w:p w:rsidR="009B0114" w:rsidRPr="003E6983" w:rsidRDefault="009B0114" w:rsidP="009B0114">
      <w:pPr>
        <w:pStyle w:val="CACCorps"/>
        <w:ind w:left="708"/>
      </w:pPr>
      <w:r w:rsidRPr="003E6983">
        <w:t xml:space="preserve">7° Le fonds de réserve pour les retraites mentionné à l'article L. 135-6 du code de la sécurité sociale, les institutions de retraites professionnelles mentionnées à l'article L. 370-1 du code des assurances pour leurs opérations mentionnées à l'article L. 370-2 du même code, ainsi que les personnes morales administrant une institution de retraite professionnelle mentionnée à l'article 5 de l'ordonnance n° 2006-344 du 23 mars 2006 relative aux retraites professionnelles supplémentaires ; </w:t>
      </w:r>
    </w:p>
    <w:p w:rsidR="009B0114" w:rsidRDefault="009B0114" w:rsidP="009B0114">
      <w:pPr>
        <w:pStyle w:val="CACCorps"/>
        <w:ind w:left="708"/>
      </w:pPr>
    </w:p>
    <w:p w:rsidR="009B0114" w:rsidRPr="003E6983" w:rsidRDefault="009B0114" w:rsidP="009B0114">
      <w:pPr>
        <w:pStyle w:val="CACCorps"/>
        <w:ind w:left="708"/>
      </w:pPr>
      <w:r w:rsidRPr="003E6983">
        <w:t xml:space="preserve">8° Les autres établissements financiers agréés ou réglementés ; </w:t>
      </w:r>
    </w:p>
    <w:p w:rsidR="009B0114" w:rsidRDefault="009B0114" w:rsidP="009B0114">
      <w:pPr>
        <w:pStyle w:val="CACCorps"/>
        <w:ind w:left="708"/>
      </w:pPr>
    </w:p>
    <w:p w:rsidR="009B0114" w:rsidRPr="003E6983" w:rsidRDefault="009B0114" w:rsidP="009B0114">
      <w:pPr>
        <w:pStyle w:val="CACCorps"/>
        <w:ind w:left="708"/>
      </w:pPr>
      <w:r w:rsidRPr="003E6983">
        <w:t xml:space="preserve">9° Les Etats membres de l'Organisation de coopération et de développement économiques ; </w:t>
      </w:r>
    </w:p>
    <w:p w:rsidR="009B0114" w:rsidRDefault="009B0114" w:rsidP="009B0114">
      <w:pPr>
        <w:pStyle w:val="CACCorps"/>
        <w:ind w:left="708"/>
      </w:pPr>
    </w:p>
    <w:p w:rsidR="009B0114" w:rsidRPr="003E6983" w:rsidRDefault="009B0114" w:rsidP="009B0114">
      <w:pPr>
        <w:pStyle w:val="CACCorps"/>
        <w:ind w:left="708"/>
      </w:pPr>
      <w:r w:rsidRPr="003E6983">
        <w:t xml:space="preserve">10° La Banque centrale européenne et les banques centrales des Etats membres de l'Organisation de coopération et de développement économiques ; </w:t>
      </w:r>
    </w:p>
    <w:p w:rsidR="009B0114" w:rsidRDefault="009B0114" w:rsidP="009B0114">
      <w:pPr>
        <w:pStyle w:val="CACCorps"/>
        <w:ind w:left="708"/>
      </w:pPr>
    </w:p>
    <w:p w:rsidR="009B0114" w:rsidRPr="003E6983" w:rsidRDefault="009B0114" w:rsidP="009B0114">
      <w:pPr>
        <w:pStyle w:val="CACCorps"/>
        <w:ind w:left="708"/>
      </w:pPr>
      <w:r w:rsidRPr="003E6983">
        <w:t xml:space="preserve">11° Les organismes financiers internationaux à caractère public auxquels la France ou tout autre Etat membre de l'Organisation de coopération et de développement économiques adhère ; </w:t>
      </w:r>
    </w:p>
    <w:p w:rsidR="009B0114" w:rsidRDefault="009B0114" w:rsidP="009B0114">
      <w:pPr>
        <w:pStyle w:val="CACCorps"/>
        <w:ind w:left="708"/>
      </w:pPr>
    </w:p>
    <w:p w:rsidR="009B0114" w:rsidRPr="003E6983" w:rsidRDefault="009B0114" w:rsidP="009B0114">
      <w:pPr>
        <w:pStyle w:val="CACCorps"/>
        <w:ind w:left="708"/>
      </w:pPr>
      <w:r w:rsidRPr="003E6983">
        <w:t xml:space="preserve">12° Les sociétés de capital-risque mentionnées à l'article 1er de la loi du 11 juillet 1985 ; </w:t>
      </w:r>
    </w:p>
    <w:p w:rsidR="009B0114" w:rsidRDefault="009B0114" w:rsidP="009B0114">
      <w:pPr>
        <w:pStyle w:val="CACCorps"/>
        <w:ind w:left="708"/>
      </w:pPr>
    </w:p>
    <w:p w:rsidR="009B0114" w:rsidRPr="003E6983" w:rsidRDefault="009B0114" w:rsidP="009B0114">
      <w:pPr>
        <w:pStyle w:val="CACCorps"/>
        <w:ind w:left="708"/>
      </w:pPr>
      <w:r w:rsidRPr="003E6983">
        <w:t>13° Les sociétés financières d'innovation mentionnées au III</w:t>
      </w:r>
      <w:r>
        <w:t xml:space="preserve"> de l'article 4 de la loi du 11 </w:t>
      </w:r>
      <w:r w:rsidRPr="003E6983">
        <w:t>juillet</w:t>
      </w:r>
      <w:r>
        <w:t> </w:t>
      </w:r>
      <w:r w:rsidRPr="003E6983">
        <w:t xml:space="preserve">1972 ; </w:t>
      </w:r>
    </w:p>
    <w:p w:rsidR="009B0114" w:rsidRDefault="009B0114" w:rsidP="009B0114">
      <w:pPr>
        <w:pStyle w:val="CACCorps"/>
        <w:ind w:left="708"/>
      </w:pPr>
    </w:p>
    <w:p w:rsidR="009B0114" w:rsidRPr="003E6983" w:rsidRDefault="009B0114" w:rsidP="009B0114">
      <w:pPr>
        <w:pStyle w:val="CACCorps"/>
        <w:ind w:left="708"/>
      </w:pPr>
      <w:r w:rsidRPr="003E6983">
        <w:t xml:space="preserve">14° Les intermédiaires en marchandises ; </w:t>
      </w:r>
    </w:p>
    <w:p w:rsidR="009B0114" w:rsidRDefault="009B0114" w:rsidP="009B0114">
      <w:pPr>
        <w:pStyle w:val="CACCorps"/>
        <w:ind w:left="708"/>
      </w:pPr>
    </w:p>
    <w:p w:rsidR="009B0114" w:rsidRPr="003E6983" w:rsidRDefault="009B0114" w:rsidP="009B0114">
      <w:pPr>
        <w:pStyle w:val="CACCorps"/>
        <w:ind w:left="708"/>
      </w:pPr>
      <w:r w:rsidRPr="003E6983">
        <w:t xml:space="preserve">15° Les entités remplissant au moins deux des trois critères suivants : </w:t>
      </w:r>
    </w:p>
    <w:p w:rsidR="009B0114" w:rsidRPr="003E6983" w:rsidRDefault="009B0114" w:rsidP="009B0114">
      <w:pPr>
        <w:pStyle w:val="CACCorps"/>
        <w:numPr>
          <w:ilvl w:val="0"/>
          <w:numId w:val="45"/>
        </w:numPr>
      </w:pPr>
      <w:r w:rsidRPr="003E6983">
        <w:t xml:space="preserve">effectifs annuels moyens supérieurs à 250 personnes ; </w:t>
      </w:r>
    </w:p>
    <w:p w:rsidR="009B0114" w:rsidRPr="003E6983" w:rsidRDefault="009B0114" w:rsidP="009B0114">
      <w:pPr>
        <w:pStyle w:val="CACCorps"/>
        <w:numPr>
          <w:ilvl w:val="0"/>
          <w:numId w:val="45"/>
        </w:numPr>
      </w:pPr>
      <w:r w:rsidRPr="003E6983">
        <w:t xml:space="preserve">total du bilan supérieur à 43 millions d'euros ; </w:t>
      </w:r>
    </w:p>
    <w:p w:rsidR="009B0114" w:rsidRPr="003E6983" w:rsidRDefault="009B0114" w:rsidP="009B0114">
      <w:pPr>
        <w:pStyle w:val="CACCorps"/>
        <w:numPr>
          <w:ilvl w:val="0"/>
          <w:numId w:val="45"/>
        </w:numPr>
      </w:pPr>
      <w:r w:rsidRPr="003E6983">
        <w:t xml:space="preserve">chiffre d'affaires net ou recettes nettes supérieurs à 50 millions d'euros. </w:t>
      </w:r>
    </w:p>
    <w:p w:rsidR="009B0114" w:rsidRDefault="009B0114" w:rsidP="009B0114">
      <w:pPr>
        <w:pStyle w:val="CACCorps"/>
        <w:ind w:left="708"/>
      </w:pPr>
    </w:p>
    <w:p w:rsidR="009B0114" w:rsidRPr="003E6983" w:rsidRDefault="009B0114" w:rsidP="009B0114">
      <w:pPr>
        <w:pStyle w:val="CACCorps"/>
        <w:ind w:left="708"/>
      </w:pPr>
      <w:r w:rsidRPr="003E6983">
        <w:t xml:space="preserve">Ces critères sont appréciés au vu des derniers comptes consolidés ou, à défaut, des comptes sociaux, tels que publiés et, le cas échéant, certifiés par les commissaires aux comptes. </w:t>
      </w:r>
    </w:p>
    <w:p w:rsidR="009B0114" w:rsidRDefault="009B0114" w:rsidP="009B0114">
      <w:pPr>
        <w:pStyle w:val="CACCorps"/>
      </w:pPr>
    </w:p>
    <w:p w:rsidR="009B0114" w:rsidRPr="003E6983" w:rsidRDefault="009B0114" w:rsidP="009B0114">
      <w:pPr>
        <w:pStyle w:val="CACCorps"/>
      </w:pPr>
      <w:r w:rsidRPr="003E6983">
        <w:t xml:space="preserve">II. - Ont également la qualité d'investisseurs qualifiés, lorsqu'ils agissent pour compte propre et à partir du jour de réception de l'accusé de réception attestant de leur inscription sur le fichier mentionné à l'article D. 411-3 : </w:t>
      </w:r>
    </w:p>
    <w:p w:rsidR="009B0114" w:rsidRDefault="009B0114" w:rsidP="009B0114">
      <w:pPr>
        <w:pStyle w:val="CACCorps"/>
        <w:ind w:left="708"/>
      </w:pPr>
    </w:p>
    <w:p w:rsidR="009B0114" w:rsidRPr="003E6983" w:rsidRDefault="009B0114" w:rsidP="009B0114">
      <w:pPr>
        <w:pStyle w:val="CACCorps"/>
        <w:ind w:left="708"/>
      </w:pPr>
      <w:r w:rsidRPr="003E6983">
        <w:t xml:space="preserve">1° Les entités qui remplissent au moins deux des trois critères suivants : </w:t>
      </w:r>
    </w:p>
    <w:p w:rsidR="009B0114" w:rsidRPr="003E6983" w:rsidRDefault="009B0114" w:rsidP="009B0114">
      <w:pPr>
        <w:pStyle w:val="CACCorps"/>
        <w:numPr>
          <w:ilvl w:val="0"/>
          <w:numId w:val="46"/>
        </w:numPr>
      </w:pPr>
      <w:r w:rsidRPr="003E6983">
        <w:t xml:space="preserve">effectifs annuels moyens inférieurs à 250 personnes ; </w:t>
      </w:r>
    </w:p>
    <w:p w:rsidR="009B0114" w:rsidRPr="003E6983" w:rsidRDefault="009B0114" w:rsidP="009B0114">
      <w:pPr>
        <w:pStyle w:val="CACCorps"/>
        <w:numPr>
          <w:ilvl w:val="0"/>
          <w:numId w:val="46"/>
        </w:numPr>
      </w:pPr>
      <w:r w:rsidRPr="003E6983">
        <w:t xml:space="preserve">total du bilan inférieur à 43 millions d'euros ; </w:t>
      </w:r>
    </w:p>
    <w:p w:rsidR="009B0114" w:rsidRPr="003E6983" w:rsidRDefault="009B0114" w:rsidP="009B0114">
      <w:pPr>
        <w:pStyle w:val="CACCorps"/>
        <w:numPr>
          <w:ilvl w:val="0"/>
          <w:numId w:val="46"/>
        </w:numPr>
      </w:pPr>
      <w:r w:rsidRPr="003E6983">
        <w:t xml:space="preserve">chiffre d'affaires ou montant des recettes inférieur à 50 millions d'euros. </w:t>
      </w:r>
    </w:p>
    <w:p w:rsidR="009B0114" w:rsidRDefault="009B0114" w:rsidP="009B0114">
      <w:pPr>
        <w:pStyle w:val="CACCorps"/>
        <w:ind w:left="708"/>
      </w:pPr>
    </w:p>
    <w:p w:rsidR="009B0114" w:rsidRPr="003E6983" w:rsidRDefault="009B0114" w:rsidP="009B0114">
      <w:pPr>
        <w:pStyle w:val="CACCorps"/>
        <w:ind w:left="708"/>
      </w:pPr>
      <w:r w:rsidRPr="003E6983">
        <w:t xml:space="preserve">Ces critères sont appréciés au vu des derniers comptes consolidés ou, à défaut, des comptes sociaux, tels que publiés et, le cas échéant, certifiés par les commissaires aux comptes. La décision d'inscription sur le fichier mentionné à l'article D. 411-3 est prise, selon le cas, par le conseil d'administration, par le directoire, par le ou les gérants, ou par l'organe de gestion de l'entité ; </w:t>
      </w:r>
    </w:p>
    <w:p w:rsidR="009B0114" w:rsidRDefault="009B0114" w:rsidP="009B0114">
      <w:pPr>
        <w:pStyle w:val="CACCorps"/>
        <w:ind w:left="708"/>
      </w:pPr>
    </w:p>
    <w:p w:rsidR="009B0114" w:rsidRPr="003E6983" w:rsidRDefault="009B0114" w:rsidP="009B0114">
      <w:pPr>
        <w:pStyle w:val="CACCorps"/>
        <w:ind w:left="708"/>
      </w:pPr>
      <w:r w:rsidRPr="003E6983">
        <w:t xml:space="preserve">2° Les personnes physiques remplissant au moins deux des trois critères suivants : </w:t>
      </w:r>
    </w:p>
    <w:p w:rsidR="009B0114" w:rsidRPr="003E6983" w:rsidRDefault="009B0114" w:rsidP="009B0114">
      <w:pPr>
        <w:pStyle w:val="CACCorps"/>
        <w:numPr>
          <w:ilvl w:val="0"/>
          <w:numId w:val="47"/>
        </w:numPr>
      </w:pPr>
      <w:r w:rsidRPr="003E6983">
        <w:t xml:space="preserve">la détention d'un portefeuille d'instruments financiers d'une valeur supérieure à 500 000 euros ; </w:t>
      </w:r>
    </w:p>
    <w:p w:rsidR="009B0114" w:rsidRPr="003E6983" w:rsidRDefault="009B0114" w:rsidP="009B0114">
      <w:pPr>
        <w:pStyle w:val="CACCorps"/>
        <w:numPr>
          <w:ilvl w:val="0"/>
          <w:numId w:val="47"/>
        </w:numPr>
      </w:pPr>
      <w:r w:rsidRPr="003E6983">
        <w:t xml:space="preserve">la réalisation d'opérations d'un montant supérieur à 600 euros par opération sur des instruments financiers, à raison d'au moins dix par trimestre en moyenne sur les quatre trimestres précédents ; </w:t>
      </w:r>
    </w:p>
    <w:p w:rsidR="009B0114" w:rsidRPr="003E6983" w:rsidRDefault="009B0114" w:rsidP="009B0114">
      <w:pPr>
        <w:pStyle w:val="CACCorps"/>
        <w:numPr>
          <w:ilvl w:val="0"/>
          <w:numId w:val="47"/>
        </w:numPr>
      </w:pPr>
      <w:r w:rsidRPr="003E6983">
        <w:t xml:space="preserve">l'occupation pendant au moins un an, dans le secteur financier, d'une position professionnelle exigeant une connaissance de l'investissement en instruments financiers. </w:t>
      </w:r>
    </w:p>
    <w:p w:rsidR="009B0114" w:rsidRDefault="009B0114" w:rsidP="009B0114">
      <w:pPr>
        <w:pStyle w:val="CACCorps"/>
      </w:pPr>
    </w:p>
    <w:p w:rsidR="009B0114" w:rsidRDefault="009B0114" w:rsidP="009B0114">
      <w:pPr>
        <w:pStyle w:val="CACCorps"/>
      </w:pPr>
      <w:r w:rsidRPr="003E6983">
        <w:t xml:space="preserve">III. - Ont également la qualité d'investisseur qualifié : </w:t>
      </w:r>
    </w:p>
    <w:p w:rsidR="009B0114" w:rsidRPr="003E6983" w:rsidRDefault="009B0114" w:rsidP="009B0114">
      <w:pPr>
        <w:pStyle w:val="CACCorps"/>
      </w:pPr>
    </w:p>
    <w:p w:rsidR="009B0114" w:rsidRDefault="009B0114" w:rsidP="009B0114">
      <w:pPr>
        <w:pStyle w:val="CACCorps"/>
        <w:ind w:left="708"/>
      </w:pPr>
      <w:r w:rsidRPr="003E6983">
        <w:t>1° Les entités mentionnées au I lorsqu'elles agissent pour le compte d'un organisme de placement collectif ou d'un investisseur qualifié appartenant à l'une des catégor</w:t>
      </w:r>
      <w:r>
        <w:t>ies mentionnées au I ou au II ;</w:t>
      </w:r>
    </w:p>
    <w:p w:rsidR="009B0114" w:rsidRPr="003E6983" w:rsidRDefault="009B0114" w:rsidP="009B0114">
      <w:pPr>
        <w:pStyle w:val="CACCorps"/>
        <w:ind w:left="0"/>
      </w:pPr>
    </w:p>
    <w:p w:rsidR="009B0114" w:rsidRDefault="009B0114" w:rsidP="009B0114">
      <w:pPr>
        <w:pStyle w:val="CACCorps"/>
        <w:ind w:left="708"/>
        <w:rPr>
          <w:rFonts w:ascii="Helvetica" w:hAnsi="Helvetica"/>
          <w:sz w:val="20"/>
        </w:rPr>
      </w:pPr>
      <w:r w:rsidRPr="003E6983">
        <w:t>2° Les prestataires de services d'investissement lorsqu'ils agissent dans le cadre d'une activité de gestion de portefeuille pour le compte de leur mandant</w:t>
      </w:r>
      <w:r>
        <w:rPr>
          <w:rFonts w:ascii="Helvetica" w:hAnsi="Helvetica"/>
          <w:sz w:val="20"/>
        </w:rPr>
        <w:t xml:space="preserve">. </w:t>
      </w:r>
    </w:p>
    <w:p w:rsidR="009B0114" w:rsidRDefault="009B0114" w:rsidP="009B0114">
      <w:pPr>
        <w:pStyle w:val="CACCorps"/>
      </w:pPr>
    </w:p>
    <w:p w:rsidR="009B0114" w:rsidRDefault="009B0114" w:rsidP="009B0114">
      <w:pPr>
        <w:pStyle w:val="CACTitre2"/>
      </w:pPr>
      <w:bookmarkStart w:id="49" w:name="_Toc452390488"/>
      <w:r>
        <w:t>ARTICLE D411-2 DU CODE MONETAIRE ET FINANCIER :</w:t>
      </w:r>
      <w:bookmarkEnd w:id="49"/>
    </w:p>
    <w:p w:rsidR="009B0114" w:rsidRPr="003E6983" w:rsidRDefault="009B0114" w:rsidP="009B0114">
      <w:pPr>
        <w:pStyle w:val="NormalWeb"/>
        <w:jc w:val="both"/>
        <w:rPr>
          <w:rFonts w:asciiTheme="minorHAnsi" w:hAnsiTheme="minorHAnsi" w:cs="Times New Roman"/>
          <w:sz w:val="22"/>
          <w:szCs w:val="20"/>
        </w:rPr>
      </w:pPr>
      <w:r w:rsidRPr="003E6983">
        <w:rPr>
          <w:rFonts w:asciiTheme="minorHAnsi" w:hAnsiTheme="minorHAnsi" w:cs="Times New Roman"/>
          <w:sz w:val="22"/>
          <w:szCs w:val="20"/>
        </w:rPr>
        <w:t>Ont également la qualité d'investisseurs qualifiés les personnes physiques ou entités reconnues investisseurs qualifiés dans les Etats parties à l'accord sur l'Espace économique européen, conformément aux dispositions de la directive 2003/71/CE du 4 novembre 2003.</w:t>
      </w:r>
    </w:p>
    <w:p w:rsidR="009B0114" w:rsidRPr="00BA04E1" w:rsidRDefault="009B0114" w:rsidP="009B0114"/>
    <w:p w:rsidR="009B0114" w:rsidRDefault="009B0114" w:rsidP="009B0114">
      <w:pPr>
        <w:pStyle w:val="CACTitre1"/>
        <w:numPr>
          <w:ilvl w:val="0"/>
          <w:numId w:val="44"/>
        </w:numPr>
      </w:pPr>
      <w:bookmarkStart w:id="50" w:name="_Toc452390489"/>
      <w:r>
        <w:t>Transfert d’Euronext vers Alternext</w:t>
      </w:r>
      <w:bookmarkEnd w:id="50"/>
    </w:p>
    <w:p w:rsidR="009B0114" w:rsidRDefault="009B0114" w:rsidP="009B0114"/>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 xml:space="preserve">Cette section a été conçue sur la base des documents suivants: </w:t>
      </w:r>
    </w:p>
    <w:p w:rsidR="009B0114" w:rsidRPr="00182A00" w:rsidRDefault="009B0114" w:rsidP="009B0114">
      <w:pPr>
        <w:pStyle w:val="CACCorps"/>
        <w:numPr>
          <w:ilvl w:val="0"/>
          <w:numId w:val="33"/>
        </w:numPr>
        <w:rPr>
          <w:rFonts w:eastAsia="Arial Unicode MS" w:cs="Times New Roman"/>
          <w:szCs w:val="20"/>
          <w:lang w:eastAsia="fr-FR"/>
        </w:rPr>
      </w:pPr>
      <w:r w:rsidRPr="00182A00">
        <w:rPr>
          <w:rFonts w:eastAsia="Arial Unicode MS" w:cs="Times New Roman"/>
          <w:szCs w:val="20"/>
          <w:lang w:eastAsia="fr-FR"/>
        </w:rPr>
        <w:t xml:space="preserve">Position / Recommandation AMF n°2010-03 du </w:t>
      </w:r>
      <w:smartTag w:uri="urn:schemas-microsoft-com:office:smarttags" w:element="date">
        <w:smartTagPr>
          <w:attr w:name="ls" w:val="trans"/>
          <w:attr w:name="Month" w:val="9"/>
          <w:attr w:name="Day" w:val="16"/>
          <w:attr w:name="Year" w:val="2010"/>
        </w:smartTagPr>
        <w:r w:rsidRPr="00182A00">
          <w:rPr>
            <w:rFonts w:eastAsia="Arial Unicode MS" w:cs="Times New Roman"/>
            <w:szCs w:val="20"/>
            <w:lang w:eastAsia="fr-FR"/>
          </w:rPr>
          <w:t>16 septembre 2010</w:t>
        </w:r>
      </w:smartTag>
      <w:r w:rsidRPr="00182A00">
        <w:rPr>
          <w:rFonts w:eastAsia="Arial Unicode MS" w:cs="Times New Roman"/>
          <w:szCs w:val="20"/>
          <w:lang w:eastAsia="fr-FR"/>
        </w:rPr>
        <w:t xml:space="preserve"> Questions – Réponses de l'AMF sur le transfert vers Alternext d'une société cotée sur Euronext</w:t>
      </w:r>
    </w:p>
    <w:p w:rsidR="009B0114" w:rsidRPr="00182A00" w:rsidRDefault="009B0114" w:rsidP="009B0114">
      <w:pPr>
        <w:pStyle w:val="CACCorps"/>
        <w:numPr>
          <w:ilvl w:val="0"/>
          <w:numId w:val="33"/>
        </w:numPr>
        <w:rPr>
          <w:rFonts w:eastAsia="Arial Unicode MS" w:cs="Times New Roman"/>
          <w:szCs w:val="20"/>
          <w:lang w:eastAsia="fr-FR"/>
        </w:rPr>
      </w:pPr>
      <w:r w:rsidRPr="00182A00">
        <w:rPr>
          <w:rFonts w:eastAsia="Arial Unicode MS" w:cs="Times New Roman"/>
          <w:szCs w:val="20"/>
          <w:lang w:eastAsia="fr-FR"/>
        </w:rPr>
        <w:t xml:space="preserve">Note de présentation du règlement de l'ANC n°2010-01 du </w:t>
      </w:r>
      <w:smartTag w:uri="urn:schemas-microsoft-com:office:smarttags" w:element="date">
        <w:smartTagPr>
          <w:attr w:name="ls" w:val="trans"/>
          <w:attr w:name="Month" w:val="6"/>
          <w:attr w:name="Day" w:val="3"/>
          <w:attr w:name="Year" w:val="2010"/>
        </w:smartTagPr>
        <w:r w:rsidRPr="00182A00">
          <w:rPr>
            <w:rFonts w:eastAsia="Arial Unicode MS" w:cs="Times New Roman"/>
            <w:szCs w:val="20"/>
            <w:lang w:eastAsia="fr-FR"/>
          </w:rPr>
          <w:t>3 juin 2010</w:t>
        </w:r>
      </w:smartTag>
      <w:r w:rsidRPr="00182A00">
        <w:rPr>
          <w:rFonts w:eastAsia="Arial Unicode MS" w:cs="Times New Roman"/>
          <w:szCs w:val="20"/>
          <w:lang w:eastAsia="fr-FR"/>
        </w:rPr>
        <w:t xml:space="preserve"> relatif aux modalités de première application de règlement du CRC n°99-02 par les sociétés dont les instruments financiers sont transférés d'un marché réglementé (Euronext) vers un système multilatéral de négociation (Alternext)</w:t>
      </w:r>
    </w:p>
    <w:p w:rsidR="009B0114" w:rsidRPr="00182A00" w:rsidRDefault="009B0114" w:rsidP="009B0114"/>
    <w:p w:rsidR="009B0114" w:rsidRDefault="009B0114" w:rsidP="009B0114">
      <w:pPr>
        <w:pStyle w:val="CACTitre2"/>
      </w:pPr>
      <w:r>
        <w:t xml:space="preserve"> </w:t>
      </w:r>
      <w:bookmarkStart w:id="51" w:name="_Toc452390490"/>
      <w:r>
        <w:t>PRESENTATION DU CONTEXTE DE LA REGLEMENTATION</w:t>
      </w:r>
      <w:bookmarkEnd w:id="51"/>
    </w:p>
    <w:p w:rsidR="009B0114" w:rsidRPr="00182A00" w:rsidRDefault="009B0114" w:rsidP="009B0114">
      <w:pPr>
        <w:pStyle w:val="Style30"/>
        <w:ind w:left="0" w:right="72"/>
        <w:jc w:val="both"/>
        <w:rPr>
          <w:rStyle w:val="CharacterStyle3"/>
          <w:rFonts w:asciiTheme="minorHAnsi" w:hAnsiTheme="minorHAnsi"/>
          <w:b/>
          <w:color w:val="000000"/>
          <w:spacing w:val="-1"/>
          <w:w w:val="105"/>
          <w:sz w:val="22"/>
          <w:szCs w:val="22"/>
          <w:u w:val="single"/>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 xml:space="preserve">Face à l'alourdissement des règles applicables aux sociétés admises à la négociation sur un marché réglementé et au coût que cela engendre une réflexion a été menée en 2008 afin d'adapter les conditions de cotations pour les petites et moyennes valeurs. </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 xml:space="preserve">La synthèse des travaux  sur les possibilités de transfert d'une société d'Euronext vers Alternext, publiée le </w:t>
      </w:r>
      <w:smartTag w:uri="urn:schemas-microsoft-com:office:smarttags" w:element="date">
        <w:smartTagPr>
          <w:attr w:name="Year" w:val="2009"/>
          <w:attr w:name="Day" w:val="21"/>
          <w:attr w:name="Month" w:val="1"/>
          <w:attr w:name="ls" w:val="trans"/>
        </w:smartTagPr>
        <w:r w:rsidRPr="00182A00">
          <w:rPr>
            <w:rFonts w:eastAsia="Arial Unicode MS" w:cs="Times New Roman"/>
            <w:szCs w:val="20"/>
            <w:lang w:eastAsia="fr-FR"/>
          </w:rPr>
          <w:t>21 janvier 2009</w:t>
        </w:r>
      </w:smartTag>
      <w:r w:rsidRPr="00182A00">
        <w:rPr>
          <w:rFonts w:eastAsia="Arial Unicode MS" w:cs="Times New Roman"/>
          <w:szCs w:val="20"/>
          <w:lang w:eastAsia="fr-FR"/>
        </w:rPr>
        <w:t xml:space="preserve"> par l'AMF, mentionne les contraintes pesant actuellement sur les petites capitalisations d'Euronext :</w:t>
      </w:r>
    </w:p>
    <w:p w:rsidR="009B0114" w:rsidRPr="003426BA" w:rsidRDefault="009B0114" w:rsidP="009B0114">
      <w:pPr>
        <w:pStyle w:val="CACCorps"/>
        <w:rPr>
          <w:rFonts w:eastAsia="Arial Unicode MS" w:cs="Times New Roman"/>
          <w:i/>
          <w:szCs w:val="20"/>
          <w:lang w:eastAsia="fr-FR"/>
        </w:rPr>
      </w:pPr>
      <w:r w:rsidRPr="00182A00">
        <w:rPr>
          <w:rFonts w:eastAsia="Arial Unicode MS" w:cs="Times New Roman"/>
          <w:szCs w:val="20"/>
          <w:lang w:eastAsia="fr-FR"/>
        </w:rPr>
        <w:t xml:space="preserve">« </w:t>
      </w:r>
      <w:r w:rsidRPr="003426BA">
        <w:rPr>
          <w:rFonts w:eastAsia="Arial Unicode MS" w:cs="Times New Roman"/>
          <w:i/>
          <w:szCs w:val="20"/>
          <w:lang w:eastAsia="fr-FR"/>
        </w:rPr>
        <w:t xml:space="preserve">Depuis 2003, les obligations attachées aux sociétés dont les actions sont admises aux négociations sur un marché réglementé ont considérablement évolué, en particulier à la suite des transpositions des directives Prospectus, Transparence, Abus de marché et de l'application des normes IFRS. Ces évolutions législatives et réglementaires </w:t>
      </w:r>
      <w:proofErr w:type="gramStart"/>
      <w:r w:rsidRPr="003426BA">
        <w:rPr>
          <w:rFonts w:eastAsia="Arial Unicode MS" w:cs="Times New Roman"/>
          <w:i/>
          <w:szCs w:val="20"/>
          <w:lang w:eastAsia="fr-FR"/>
        </w:rPr>
        <w:t>n 'ont</w:t>
      </w:r>
      <w:proofErr w:type="gramEnd"/>
      <w:r w:rsidRPr="003426BA">
        <w:rPr>
          <w:rFonts w:eastAsia="Arial Unicode MS" w:cs="Times New Roman"/>
          <w:i/>
          <w:szCs w:val="20"/>
          <w:lang w:eastAsia="fr-FR"/>
        </w:rPr>
        <w:t xml:space="preserve"> pas tenu compte de la taille et des moyens dont disposent les sociétés. Ainsi, un certain nombre de sociétés cotées sur le compartiment C d'Euronext ont de plus en plus de difficultés à répondre aux nouvelles obligations réglementaires, en termes à la fois humain et financier. Par ailleurs, beaucoup de valeurs moyennes estiment que, du fait de leur taille, de leur capitalisation boursière et/ou des volumes d'échanges de leurs titres, elles auraient eu naturellement vocation à être cotées sur Alternext si un tel marché avait existé au moment de leur introduction en bourse.</w:t>
      </w:r>
    </w:p>
    <w:p w:rsidR="009B0114" w:rsidRPr="00182A00" w:rsidRDefault="009B0114" w:rsidP="009B0114">
      <w:pPr>
        <w:pStyle w:val="CACCorps"/>
        <w:rPr>
          <w:rFonts w:eastAsia="Arial Unicode MS" w:cs="Times New Roman"/>
          <w:szCs w:val="20"/>
          <w:lang w:eastAsia="fr-FR"/>
        </w:rPr>
      </w:pPr>
      <w:r w:rsidRPr="003426BA">
        <w:rPr>
          <w:rFonts w:eastAsia="Arial Unicode MS" w:cs="Times New Roman"/>
          <w:i/>
          <w:szCs w:val="20"/>
          <w:lang w:eastAsia="fr-FR"/>
        </w:rPr>
        <w:t>Il est rappelé enfin que cette analyse existait déjà avant la crise que connaissent actuellement les marchés boursiers. Dans un environnement moins favorable, les valeurs moyennes vérifient encore davantage leurs coûts et craignent d'autant plus le renforcement de certaines exigences.</w:t>
      </w:r>
      <w:r w:rsidRPr="00182A00">
        <w:rPr>
          <w:rFonts w:eastAsia="Arial Unicode MS" w:cs="Times New Roman"/>
          <w:szCs w:val="20"/>
          <w:lang w:eastAsia="fr-FR"/>
        </w:rPr>
        <w:t xml:space="preserve"> »</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La loi n° 2009-1255  tendant à favoriser l'accès au crédit des petites et moyennes entreprises et à améliorer le fonctionnement des marchés financiers résulte des travaux de réflexion conduits par l'AMF sur le développement du marché Alternext.</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L'objectif de cette disposition est de faciliter l’accès au marché des petites et moyennes entreprises de capitaux.</w:t>
      </w: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Ceci s'organise autour de quatre axes d’actions:</w:t>
      </w:r>
    </w:p>
    <w:p w:rsidR="009B0114" w:rsidRPr="00182A00" w:rsidRDefault="009B0114" w:rsidP="009B0114">
      <w:pPr>
        <w:pStyle w:val="CACCorps"/>
        <w:numPr>
          <w:ilvl w:val="0"/>
          <w:numId w:val="34"/>
        </w:numPr>
        <w:rPr>
          <w:rFonts w:eastAsia="Arial Unicode MS" w:cs="Times New Roman"/>
          <w:szCs w:val="20"/>
          <w:lang w:eastAsia="fr-FR"/>
        </w:rPr>
      </w:pPr>
      <w:r w:rsidRPr="00182A00">
        <w:rPr>
          <w:rFonts w:eastAsia="Arial Unicode MS" w:cs="Times New Roman"/>
          <w:szCs w:val="20"/>
          <w:lang w:eastAsia="fr-FR"/>
        </w:rPr>
        <w:t>Adapter le cadre législatif et réglementaire ainsi que les règles de marché aux PME cotées;</w:t>
      </w:r>
    </w:p>
    <w:p w:rsidR="009B0114" w:rsidRPr="00182A00" w:rsidRDefault="009B0114" w:rsidP="009B0114">
      <w:pPr>
        <w:pStyle w:val="CACCorps"/>
        <w:numPr>
          <w:ilvl w:val="0"/>
          <w:numId w:val="34"/>
        </w:numPr>
        <w:rPr>
          <w:rFonts w:eastAsia="Arial Unicode MS" w:cs="Times New Roman"/>
          <w:szCs w:val="20"/>
          <w:lang w:eastAsia="fr-FR"/>
        </w:rPr>
      </w:pPr>
      <w:r w:rsidRPr="00182A00">
        <w:rPr>
          <w:rFonts w:eastAsia="Arial Unicode MS" w:cs="Times New Roman"/>
          <w:szCs w:val="20"/>
          <w:lang w:eastAsia="fr-FR"/>
        </w:rPr>
        <w:t>Renforcer la présence des investisseurs institutionnels sur ce marché;</w:t>
      </w:r>
    </w:p>
    <w:p w:rsidR="009B0114" w:rsidRPr="00182A00" w:rsidRDefault="009B0114" w:rsidP="009B0114">
      <w:pPr>
        <w:pStyle w:val="CACCorps"/>
        <w:numPr>
          <w:ilvl w:val="0"/>
          <w:numId w:val="34"/>
        </w:numPr>
        <w:rPr>
          <w:rFonts w:eastAsia="Arial Unicode MS" w:cs="Times New Roman"/>
          <w:szCs w:val="20"/>
          <w:lang w:eastAsia="fr-FR"/>
        </w:rPr>
      </w:pPr>
      <w:r w:rsidRPr="00182A00">
        <w:rPr>
          <w:rFonts w:eastAsia="Arial Unicode MS" w:cs="Times New Roman"/>
          <w:szCs w:val="20"/>
          <w:lang w:eastAsia="fr-FR"/>
        </w:rPr>
        <w:t>Informer et accompagner les chefs d’entreprises de PME cotées sur les possibilités qu’offrent les marchés boursiers;</w:t>
      </w:r>
    </w:p>
    <w:p w:rsidR="009B0114" w:rsidRPr="00182A00" w:rsidRDefault="009B0114" w:rsidP="009B0114">
      <w:pPr>
        <w:pStyle w:val="CACCorps"/>
        <w:numPr>
          <w:ilvl w:val="0"/>
          <w:numId w:val="34"/>
        </w:numPr>
        <w:rPr>
          <w:rFonts w:eastAsia="Arial Unicode MS" w:cs="Times New Roman"/>
          <w:szCs w:val="20"/>
          <w:lang w:eastAsia="fr-FR"/>
        </w:rPr>
      </w:pPr>
      <w:r w:rsidRPr="00182A00">
        <w:rPr>
          <w:rFonts w:eastAsia="Arial Unicode MS" w:cs="Times New Roman"/>
          <w:szCs w:val="20"/>
          <w:lang w:eastAsia="fr-FR"/>
        </w:rPr>
        <w:t>Développer les informations à destination des investisseurs</w:t>
      </w:r>
    </w:p>
    <w:p w:rsidR="009B0114" w:rsidRDefault="009B0114" w:rsidP="009B0114">
      <w:pPr>
        <w:pStyle w:val="CACCorps"/>
        <w:rPr>
          <w:rFonts w:eastAsia="Arial Unicode MS" w:cs="Times New Roman"/>
          <w:szCs w:val="20"/>
          <w:lang w:eastAsia="fr-FR"/>
        </w:rPr>
      </w:pPr>
    </w:p>
    <w:p w:rsidR="009B0114" w:rsidRDefault="009B0114">
      <w:pPr>
        <w:jc w:val="left"/>
        <w:rPr>
          <w:rFonts w:eastAsia="Arial Unicode MS" w:cs="Times New Roman"/>
          <w:szCs w:val="20"/>
          <w:lang w:eastAsia="fr-FR"/>
        </w:rPr>
      </w:pPr>
      <w:r>
        <w:rPr>
          <w:rFonts w:eastAsia="Arial Unicode MS" w:cs="Times New Roman"/>
          <w:szCs w:val="20"/>
          <w:lang w:eastAsia="fr-FR"/>
        </w:rPr>
        <w:br w:type="page"/>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Titre2"/>
        <w:rPr>
          <w:lang w:eastAsia="fr-FR"/>
        </w:rPr>
      </w:pPr>
      <w:bookmarkStart w:id="52" w:name="_Toc291775722"/>
      <w:bookmarkStart w:id="53" w:name="_Toc291776987"/>
      <w:bookmarkStart w:id="54" w:name="_Toc452390491"/>
      <w:r>
        <w:rPr>
          <w:lang w:eastAsia="fr-FR"/>
        </w:rPr>
        <w:t>RAPPEL DES CONDITIONS DE TRANSFERT ADOPTEES PAR L’AMF</w:t>
      </w:r>
      <w:bookmarkEnd w:id="52"/>
      <w:bookmarkEnd w:id="53"/>
      <w:bookmarkEnd w:id="54"/>
    </w:p>
    <w:p w:rsidR="009B0114" w:rsidRPr="00182A00" w:rsidRDefault="009B0114" w:rsidP="009B0114">
      <w:pPr>
        <w:pStyle w:val="CACCorps"/>
        <w:tabs>
          <w:tab w:val="left" w:pos="6425"/>
        </w:tab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 xml:space="preserve">A la suite des dispositions de la loi du </w:t>
      </w:r>
      <w:smartTag w:uri="urn:schemas-microsoft-com:office:smarttags" w:element="date">
        <w:smartTagPr>
          <w:attr w:name="Year" w:val="2009"/>
          <w:attr w:name="Day" w:val="19"/>
          <w:attr w:name="Month" w:val="10"/>
          <w:attr w:name="ls" w:val="trans"/>
        </w:smartTagPr>
        <w:r w:rsidRPr="00182A00">
          <w:rPr>
            <w:rFonts w:eastAsia="Arial Unicode MS" w:cs="Times New Roman"/>
            <w:szCs w:val="20"/>
            <w:lang w:eastAsia="fr-FR"/>
          </w:rPr>
          <w:t xml:space="preserve">19 octobre </w:t>
        </w:r>
        <w:smartTag w:uri="urn:schemas-microsoft-com:office:smarttags" w:element="metricconverter">
          <w:smartTagPr>
            <w:attr w:name="ProductID" w:val="2009, l"/>
          </w:smartTagPr>
          <w:r w:rsidRPr="00182A00">
            <w:rPr>
              <w:rFonts w:eastAsia="Arial Unicode MS" w:cs="Times New Roman"/>
              <w:szCs w:val="20"/>
              <w:lang w:eastAsia="fr-FR"/>
            </w:rPr>
            <w:t>2009</w:t>
          </w:r>
        </w:smartTag>
      </w:smartTag>
      <w:r w:rsidRPr="00182A00">
        <w:rPr>
          <w:rFonts w:eastAsia="Arial Unicode MS" w:cs="Times New Roman"/>
          <w:szCs w:val="20"/>
          <w:lang w:eastAsia="fr-FR"/>
        </w:rPr>
        <w:t>, l'AMF a adapté, en concertation avec les professionnels, certains articles de son règlement général.</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 xml:space="preserve">Le dispositif législatif et réglementaire encadrant la possibilité de transfert prévoit les conditions suivantes (communiqué AMF du </w:t>
      </w:r>
      <w:smartTag w:uri="urn:schemas-microsoft-com:office:smarttags" w:element="date">
        <w:smartTagPr>
          <w:attr w:name="ls" w:val="trans"/>
          <w:attr w:name="Month" w:val="11"/>
          <w:attr w:name="Day" w:val="16"/>
          <w:attr w:name="Year" w:val="2009"/>
        </w:smartTagPr>
        <w:r w:rsidRPr="00182A00">
          <w:rPr>
            <w:rFonts w:eastAsia="Arial Unicode MS" w:cs="Times New Roman"/>
            <w:szCs w:val="20"/>
            <w:lang w:eastAsia="fr-FR"/>
          </w:rPr>
          <w:t>16 novembre 2009</w:t>
        </w:r>
      </w:smartTag>
      <w:r w:rsidRPr="00182A00">
        <w:rPr>
          <w:rFonts w:eastAsia="Arial Unicode MS" w:cs="Times New Roman"/>
          <w:szCs w:val="20"/>
          <w:lang w:eastAsia="fr-FR"/>
        </w:rPr>
        <w:t>) :</w:t>
      </w:r>
    </w:p>
    <w:p w:rsidR="009B0114" w:rsidRPr="00182A00" w:rsidRDefault="009B0114" w:rsidP="009B0114">
      <w:pPr>
        <w:pStyle w:val="CACCorps"/>
        <w:numPr>
          <w:ilvl w:val="0"/>
          <w:numId w:val="35"/>
        </w:numPr>
        <w:rPr>
          <w:rFonts w:eastAsia="Arial Unicode MS" w:cs="Times New Roman"/>
          <w:szCs w:val="20"/>
          <w:lang w:eastAsia="fr-FR"/>
        </w:rPr>
      </w:pPr>
      <w:r w:rsidRPr="00182A00">
        <w:rPr>
          <w:rFonts w:eastAsia="Arial Unicode MS" w:cs="Times New Roman"/>
          <w:szCs w:val="20"/>
          <w:lang w:eastAsia="fr-FR"/>
        </w:rPr>
        <w:t>La capitalisation boursière de la société doit être inférieure à un milliard d'euros (Article L</w:t>
      </w:r>
      <w:r>
        <w:rPr>
          <w:rFonts w:eastAsia="Arial Unicode MS" w:cs="Times New Roman"/>
          <w:szCs w:val="20"/>
          <w:lang w:eastAsia="fr-FR"/>
        </w:rPr>
        <w:t> </w:t>
      </w:r>
      <w:r w:rsidRPr="00182A00">
        <w:rPr>
          <w:rFonts w:eastAsia="Arial Unicode MS" w:cs="Times New Roman"/>
          <w:szCs w:val="20"/>
          <w:lang w:eastAsia="fr-FR"/>
        </w:rPr>
        <w:t>421-14 V 3ème alinéa du code monétaire et financier).</w:t>
      </w:r>
    </w:p>
    <w:p w:rsidR="009B0114" w:rsidRPr="00182A00" w:rsidRDefault="009B0114" w:rsidP="009B0114">
      <w:pPr>
        <w:pStyle w:val="CACCorps"/>
        <w:numPr>
          <w:ilvl w:val="0"/>
          <w:numId w:val="35"/>
        </w:numPr>
        <w:rPr>
          <w:rFonts w:eastAsia="Arial Unicode MS" w:cs="Times New Roman"/>
          <w:szCs w:val="20"/>
          <w:lang w:eastAsia="fr-FR"/>
        </w:rPr>
      </w:pPr>
      <w:r w:rsidRPr="00182A00">
        <w:rPr>
          <w:rFonts w:eastAsia="Arial Unicode MS" w:cs="Times New Roman"/>
          <w:szCs w:val="20"/>
          <w:lang w:eastAsia="fr-FR"/>
        </w:rPr>
        <w:t>Une assemblée générale ordinaire des actionnaires doit se réunir afin de statuer sur ce projet de transfert. L'admission des titres sur Alternext ne peut intervenir avant l'expiration d'un délai de deux mois à compter de la date de la réunion de l'assemblée générale (article L</w:t>
      </w:r>
      <w:r>
        <w:rPr>
          <w:rFonts w:eastAsia="Arial Unicode MS" w:cs="Times New Roman"/>
          <w:szCs w:val="20"/>
          <w:lang w:eastAsia="fr-FR"/>
        </w:rPr>
        <w:t> </w:t>
      </w:r>
      <w:r w:rsidRPr="00182A00">
        <w:rPr>
          <w:rFonts w:eastAsia="Arial Unicode MS" w:cs="Times New Roman"/>
          <w:szCs w:val="20"/>
          <w:lang w:eastAsia="fr-FR"/>
        </w:rPr>
        <w:t>421-14 V 2ème alinéa du code monétaire et financier).</w:t>
      </w:r>
    </w:p>
    <w:p w:rsidR="009B0114" w:rsidRPr="00182A00" w:rsidRDefault="009B0114" w:rsidP="009B0114">
      <w:pPr>
        <w:pStyle w:val="CACCorps"/>
        <w:numPr>
          <w:ilvl w:val="0"/>
          <w:numId w:val="35"/>
        </w:numPr>
        <w:rPr>
          <w:rFonts w:eastAsia="Arial Unicode MS" w:cs="Times New Roman"/>
          <w:szCs w:val="20"/>
          <w:lang w:eastAsia="fr-FR"/>
        </w:rPr>
      </w:pPr>
      <w:r w:rsidRPr="00182A00">
        <w:rPr>
          <w:rFonts w:eastAsia="Arial Unicode MS" w:cs="Times New Roman"/>
          <w:szCs w:val="20"/>
          <w:lang w:eastAsia="fr-FR"/>
        </w:rPr>
        <w:t>La société informe le public de son projet via la diffusion de deux communiqués (article L</w:t>
      </w:r>
      <w:r>
        <w:rPr>
          <w:rFonts w:eastAsia="Arial Unicode MS" w:cs="Times New Roman"/>
          <w:szCs w:val="20"/>
          <w:lang w:eastAsia="fr-FR"/>
        </w:rPr>
        <w:t> </w:t>
      </w:r>
      <w:r w:rsidRPr="00182A00">
        <w:rPr>
          <w:rFonts w:eastAsia="Arial Unicode MS" w:cs="Times New Roman"/>
          <w:szCs w:val="20"/>
          <w:lang w:eastAsia="fr-FR"/>
        </w:rPr>
        <w:t>421-14 V 1 er alinéa du code monétaire et financier et article 223-36 du RGAMF3):</w:t>
      </w:r>
    </w:p>
    <w:p w:rsidR="009B0114" w:rsidRPr="00182A00" w:rsidRDefault="009B0114" w:rsidP="009B0114">
      <w:pPr>
        <w:pStyle w:val="CACCorps"/>
        <w:numPr>
          <w:ilvl w:val="1"/>
          <w:numId w:val="35"/>
        </w:numPr>
        <w:rPr>
          <w:rFonts w:eastAsia="Arial Unicode MS" w:cs="Times New Roman"/>
          <w:szCs w:val="20"/>
          <w:lang w:eastAsia="fr-FR"/>
        </w:rPr>
      </w:pPr>
      <w:r w:rsidRPr="00182A00">
        <w:rPr>
          <w:rFonts w:eastAsia="Arial Unicode MS" w:cs="Times New Roman"/>
          <w:szCs w:val="20"/>
          <w:lang w:eastAsia="fr-FR"/>
        </w:rPr>
        <w:t>Le premier communiqué est publié deux mois au moins avant la date envisagée pour le transfert ; ce communiqué précise :</w:t>
      </w:r>
    </w:p>
    <w:p w:rsidR="009B0114" w:rsidRPr="00182A00" w:rsidRDefault="009B0114" w:rsidP="009B0114">
      <w:pPr>
        <w:pStyle w:val="CACCorps"/>
        <w:numPr>
          <w:ilvl w:val="2"/>
          <w:numId w:val="35"/>
        </w:numPr>
        <w:rPr>
          <w:rFonts w:eastAsia="Arial Unicode MS" w:cs="Times New Roman"/>
          <w:szCs w:val="20"/>
          <w:lang w:eastAsia="fr-FR"/>
        </w:rPr>
      </w:pPr>
      <w:r w:rsidRPr="00182A00">
        <w:rPr>
          <w:rFonts w:eastAsia="Arial Unicode MS" w:cs="Times New Roman"/>
          <w:szCs w:val="20"/>
          <w:lang w:eastAsia="fr-FR"/>
        </w:rPr>
        <w:t>les raisons de l'opération souhaitée,</w:t>
      </w:r>
    </w:p>
    <w:p w:rsidR="009B0114" w:rsidRPr="00182A00" w:rsidRDefault="009B0114" w:rsidP="009B0114">
      <w:pPr>
        <w:pStyle w:val="CACCorps"/>
        <w:numPr>
          <w:ilvl w:val="2"/>
          <w:numId w:val="35"/>
        </w:numPr>
        <w:rPr>
          <w:rFonts w:eastAsia="Arial Unicode MS" w:cs="Times New Roman"/>
          <w:szCs w:val="20"/>
          <w:lang w:eastAsia="fr-FR"/>
        </w:rPr>
      </w:pPr>
      <w:r w:rsidRPr="00182A00">
        <w:rPr>
          <w:rFonts w:eastAsia="Arial Unicode MS" w:cs="Times New Roman"/>
          <w:szCs w:val="20"/>
          <w:lang w:eastAsia="fr-FR"/>
        </w:rPr>
        <w:t>ses conséquences pour les actionnaires et le public (conséquences notamment juridiques, financières, comptables...),</w:t>
      </w:r>
    </w:p>
    <w:p w:rsidR="009B0114" w:rsidRPr="00182A00" w:rsidRDefault="009B0114" w:rsidP="009B0114">
      <w:pPr>
        <w:pStyle w:val="CACCorps"/>
        <w:numPr>
          <w:ilvl w:val="2"/>
          <w:numId w:val="35"/>
        </w:numPr>
        <w:rPr>
          <w:rFonts w:eastAsia="Arial Unicode MS" w:cs="Times New Roman"/>
          <w:szCs w:val="20"/>
          <w:lang w:eastAsia="fr-FR"/>
        </w:rPr>
      </w:pPr>
      <w:r w:rsidRPr="00182A00">
        <w:rPr>
          <w:rFonts w:eastAsia="Arial Unicode MS" w:cs="Times New Roman"/>
          <w:szCs w:val="20"/>
          <w:lang w:eastAsia="fr-FR"/>
        </w:rPr>
        <w:t>le calendrier prévisionnel de l'opération.</w:t>
      </w:r>
    </w:p>
    <w:p w:rsidR="009B0114" w:rsidRPr="00182A00" w:rsidRDefault="009B0114" w:rsidP="009B0114">
      <w:pPr>
        <w:pStyle w:val="CACCorps"/>
        <w:numPr>
          <w:ilvl w:val="1"/>
          <w:numId w:val="35"/>
        </w:numPr>
        <w:rPr>
          <w:rFonts w:eastAsia="Arial Unicode MS" w:cs="Times New Roman"/>
          <w:szCs w:val="20"/>
          <w:lang w:eastAsia="fr-FR"/>
        </w:rPr>
      </w:pPr>
      <w:r w:rsidRPr="00182A00">
        <w:rPr>
          <w:rFonts w:eastAsia="Arial Unicode MS" w:cs="Times New Roman"/>
          <w:szCs w:val="20"/>
          <w:lang w:eastAsia="fr-FR"/>
        </w:rPr>
        <w:t>Le second communiqué est publié postérieurement à l'assemblée générale des actionnaires ayant statué sur le transfert, au moment où l'organe de direction de l'émetteur décide de demander son transfert ; ce communiqué :</w:t>
      </w:r>
    </w:p>
    <w:p w:rsidR="009B0114" w:rsidRPr="00182A00" w:rsidRDefault="009B0114" w:rsidP="009B0114">
      <w:pPr>
        <w:pStyle w:val="CACCorps"/>
        <w:numPr>
          <w:ilvl w:val="2"/>
          <w:numId w:val="35"/>
        </w:numPr>
        <w:rPr>
          <w:rFonts w:eastAsia="Arial Unicode MS" w:cs="Times New Roman"/>
          <w:szCs w:val="20"/>
          <w:lang w:eastAsia="fr-FR"/>
        </w:rPr>
      </w:pPr>
      <w:r w:rsidRPr="00182A00">
        <w:rPr>
          <w:rFonts w:eastAsia="Arial Unicode MS" w:cs="Times New Roman"/>
          <w:szCs w:val="20"/>
          <w:lang w:eastAsia="fr-FR"/>
        </w:rPr>
        <w:t>rappelle les raisons de l'opération souhaitée et ses conséquences pour les actionnaires et le public (conséquences notamment juridiques, financières, comptables, etc.),</w:t>
      </w:r>
    </w:p>
    <w:p w:rsidR="009B0114" w:rsidRPr="00182A00" w:rsidRDefault="009B0114" w:rsidP="009B0114">
      <w:pPr>
        <w:pStyle w:val="CACCorps"/>
        <w:numPr>
          <w:ilvl w:val="2"/>
          <w:numId w:val="35"/>
        </w:numPr>
        <w:rPr>
          <w:rFonts w:eastAsia="Arial Unicode MS" w:cs="Times New Roman"/>
          <w:szCs w:val="20"/>
          <w:lang w:eastAsia="fr-FR"/>
        </w:rPr>
      </w:pPr>
      <w:r w:rsidRPr="00182A00">
        <w:rPr>
          <w:rFonts w:eastAsia="Arial Unicode MS" w:cs="Times New Roman"/>
          <w:szCs w:val="20"/>
          <w:lang w:eastAsia="fr-FR"/>
        </w:rPr>
        <w:t>et précise le calendrier de l'opération.</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Concernant ces communiqués l'AMF a émis une position qui est la suivante:</w:t>
      </w:r>
    </w:p>
    <w:p w:rsidR="009B0114" w:rsidRPr="003426BA" w:rsidRDefault="009B0114" w:rsidP="009B0114">
      <w:pPr>
        <w:pStyle w:val="CACCorps"/>
        <w:rPr>
          <w:rFonts w:eastAsia="Arial Unicode MS" w:cs="Times New Roman"/>
          <w:b/>
          <w:i/>
          <w:szCs w:val="20"/>
          <w:lang w:eastAsia="fr-FR"/>
        </w:rPr>
      </w:pPr>
      <w:r w:rsidRPr="003426BA">
        <w:rPr>
          <w:rFonts w:eastAsia="Arial Unicode MS" w:cs="Times New Roman"/>
          <w:b/>
          <w:i/>
          <w:szCs w:val="20"/>
          <w:lang w:eastAsia="fr-FR"/>
        </w:rPr>
        <w:t>"S'agissant du premier communiqué, la loi exige qu'il soit publié au plus tard deux mois avant la date envisagée pour le transfert. Afin d'assurer une bonne information des actionnaires et du public, notamment sur les conséquences du transfert, l'AMF demande que ce communiqué soit publié avant la tenue de l'assemblée générale appelée à voter l'autorisation du transfert".</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ind w:left="0"/>
        <w:rPr>
          <w:rFonts w:eastAsia="Arial Unicode MS" w:cs="Times New Roman"/>
          <w:szCs w:val="20"/>
          <w:lang w:eastAsia="fr-FR"/>
        </w:rPr>
      </w:pPr>
      <w:r w:rsidRPr="00182A00">
        <w:rPr>
          <w:rFonts w:eastAsia="Arial Unicode MS" w:cs="Times New Roman"/>
          <w:szCs w:val="20"/>
          <w:lang w:eastAsia="fr-FR"/>
        </w:rPr>
        <w:t xml:space="preserve">De plus, une société dont les titres sont inscrits sur Alternext peut préparer ses comptes consolidés conformément aux règles comptables françaises (règlement CRC n°99-02) ou, sur option (art. .233-24 du code de commerce), aux normes IFRS adoptées par règlement de </w:t>
      </w:r>
      <w:smartTag w:uri="urn:schemas-microsoft-com:office:smarttags" w:element="PersonName">
        <w:smartTagPr>
          <w:attr w:name="ProductID" w:val="la Commission"/>
        </w:smartTagPr>
        <w:r w:rsidRPr="00182A00">
          <w:rPr>
            <w:rFonts w:eastAsia="Arial Unicode MS" w:cs="Times New Roman"/>
            <w:szCs w:val="20"/>
            <w:lang w:eastAsia="fr-FR"/>
          </w:rPr>
          <w:t>la Commission</w:t>
        </w:r>
      </w:smartTag>
      <w:r w:rsidRPr="00182A00">
        <w:rPr>
          <w:rFonts w:eastAsia="Arial Unicode MS" w:cs="Times New Roman"/>
          <w:szCs w:val="20"/>
          <w:lang w:eastAsia="fr-FR"/>
        </w:rPr>
        <w:t xml:space="preserve"> européenne. Elle n'est donc plus tenue à l'utilisation des normes IFRS requises sur un marché réglementé.</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L'AMF précise donc:</w:t>
      </w:r>
    </w:p>
    <w:p w:rsidR="009B0114" w:rsidRPr="003426BA" w:rsidRDefault="009B0114" w:rsidP="009B0114">
      <w:pPr>
        <w:pStyle w:val="CACCorps"/>
        <w:rPr>
          <w:rFonts w:eastAsia="Arial Unicode MS" w:cs="Times New Roman"/>
          <w:b/>
          <w:i/>
          <w:szCs w:val="20"/>
          <w:lang w:eastAsia="fr-FR"/>
        </w:rPr>
      </w:pPr>
      <w:r w:rsidRPr="00182A00">
        <w:rPr>
          <w:rFonts w:eastAsia="Arial Unicode MS" w:cs="Times New Roman"/>
          <w:szCs w:val="20"/>
          <w:lang w:eastAsia="fr-FR"/>
        </w:rPr>
        <w:t>"</w:t>
      </w:r>
      <w:r w:rsidRPr="003426BA">
        <w:rPr>
          <w:rFonts w:eastAsia="Arial Unicode MS" w:cs="Times New Roman"/>
          <w:b/>
          <w:i/>
          <w:szCs w:val="20"/>
          <w:lang w:eastAsia="fr-FR"/>
        </w:rPr>
        <w:t>En conséquence, la société précise, au plus tard dans le deuxième communiqué mentionné ci-dessus, son intention de continuer à établir ses comptes consolidés en normes comptables internationales ou d'adopter les normes comptables françaises. La possibilité de revenir au référentiel français étant en effet liée au transfert, la décision doit être prise et rendue publique au plus tard lorsque la société a décidé de demander son transfert."</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L'émetteur s'assure de la diffusion effective et intégrale de ces communiqués conformément aux dispositions de l'article 221-3 du RGAMF, en recourant le cas échéant à un diffuseur professionnel ou, à défaut, en respectant les critères de diffusion posés à l'article 221-4 du RGAMF</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Titre2"/>
        <w:rPr>
          <w:lang w:eastAsia="fr-FR"/>
        </w:rPr>
      </w:pPr>
      <w:bookmarkStart w:id="55" w:name="_Toc291775723"/>
      <w:bookmarkStart w:id="56" w:name="_Toc291776988"/>
      <w:bookmarkStart w:id="57" w:name="_Toc452390492"/>
      <w:r>
        <w:rPr>
          <w:lang w:eastAsia="fr-FR"/>
        </w:rPr>
        <w:t>SYNTHESE DES OBLIGATIONS D’INFORMATION RELATIVE AUX MARCHES EURONEXT ET ALTERNEXT</w:t>
      </w:r>
      <w:bookmarkEnd w:id="55"/>
      <w:bookmarkEnd w:id="56"/>
      <w:bookmarkEnd w:id="57"/>
    </w:p>
    <w:p w:rsidR="009B0114" w:rsidRPr="00182A00" w:rsidRDefault="009B0114" w:rsidP="009B0114">
      <w:pPr>
        <w:pStyle w:val="CACCorps"/>
        <w:rPr>
          <w:rFonts w:eastAsia="Arial Unicode MS" w:cs="Times New Roman"/>
          <w:szCs w:val="20"/>
          <w:lang w:eastAsia="fr-FR"/>
        </w:rPr>
      </w:pPr>
    </w:p>
    <w:p w:rsidR="009B0114"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L'AMF propose de faire le point par le biais d'un tableau synthétique sur les principales obligations en termes d'information  sur les marchés Euronext et Alternext.</w:t>
      </w:r>
    </w:p>
    <w:p w:rsidR="009B0114" w:rsidRDefault="009B0114" w:rsidP="009B0114">
      <w:pPr>
        <w:pStyle w:val="CACCorps"/>
        <w:rPr>
          <w:rFonts w:eastAsia="Arial Unicode MS" w:cs="Times New Roman"/>
          <w:szCs w:val="20"/>
          <w:lang w:eastAsia="fr-FR"/>
        </w:rPr>
      </w:pPr>
    </w:p>
    <w:tbl>
      <w:tblPr>
        <w:tblW w:w="9079"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3"/>
        <w:gridCol w:w="1842"/>
        <w:gridCol w:w="3112"/>
        <w:gridCol w:w="990"/>
        <w:gridCol w:w="851"/>
        <w:gridCol w:w="1291"/>
      </w:tblGrid>
      <w:tr w:rsidR="009B0114" w:rsidRPr="0073664F" w:rsidTr="00B17386">
        <w:trPr>
          <w:trHeight w:hRule="exact" w:val="552"/>
        </w:trPr>
        <w:tc>
          <w:tcPr>
            <w:tcW w:w="2835" w:type="dxa"/>
            <w:gridSpan w:val="2"/>
            <w:shd w:val="clear" w:color="auto" w:fill="666666" w:themeFill="text2"/>
            <w:vAlign w:val="center"/>
          </w:tcPr>
          <w:p w:rsidR="009B0114" w:rsidRPr="0073664F" w:rsidRDefault="009B0114" w:rsidP="00B17386">
            <w:pPr>
              <w:pStyle w:val="Style10"/>
              <w:kinsoku w:val="0"/>
              <w:autoSpaceDE/>
              <w:autoSpaceDN/>
              <w:adjustRightInd/>
              <w:jc w:val="center"/>
              <w:rPr>
                <w:rStyle w:val="CharacterStyle2"/>
                <w:rFonts w:ascii="Calibri" w:eastAsiaTheme="majorEastAsia" w:hAnsi="Calibri" w:cs="Calibri"/>
                <w:b/>
                <w:bCs/>
                <w:color w:val="FFFFFF" w:themeColor="background1"/>
                <w:sz w:val="18"/>
                <w:szCs w:val="14"/>
              </w:rPr>
            </w:pPr>
            <w:r w:rsidRPr="0073664F">
              <w:rPr>
                <w:rStyle w:val="CharacterStyle2"/>
                <w:rFonts w:ascii="Calibri" w:eastAsiaTheme="majorEastAsia" w:hAnsi="Calibri" w:cs="Calibri"/>
                <w:b/>
                <w:bCs/>
                <w:color w:val="FFFFFF" w:themeColor="background1"/>
                <w:sz w:val="18"/>
                <w:szCs w:val="14"/>
              </w:rPr>
              <w:t>OBLIGATIONS</w:t>
            </w:r>
          </w:p>
        </w:tc>
        <w:tc>
          <w:tcPr>
            <w:tcW w:w="3112" w:type="dxa"/>
            <w:shd w:val="clear" w:color="auto" w:fill="666666" w:themeFill="text2"/>
          </w:tcPr>
          <w:p w:rsidR="009B0114" w:rsidRPr="0073664F" w:rsidRDefault="009B0114" w:rsidP="00B17386">
            <w:pPr>
              <w:pStyle w:val="Style10"/>
              <w:kinsoku w:val="0"/>
              <w:autoSpaceDE/>
              <w:autoSpaceDN/>
              <w:adjustRightInd/>
              <w:jc w:val="center"/>
              <w:rPr>
                <w:rStyle w:val="CharacterStyle2"/>
                <w:rFonts w:ascii="Calibri" w:eastAsiaTheme="majorEastAsia" w:hAnsi="Calibri" w:cs="Calibri"/>
                <w:b/>
                <w:bCs/>
                <w:color w:val="FFFFFF" w:themeColor="background1"/>
                <w:sz w:val="18"/>
                <w:szCs w:val="14"/>
              </w:rPr>
            </w:pPr>
            <w:r w:rsidRPr="0073664F">
              <w:rPr>
                <w:rStyle w:val="CharacterStyle2"/>
                <w:rFonts w:ascii="Calibri" w:eastAsiaTheme="majorEastAsia" w:hAnsi="Calibri" w:cs="Calibri"/>
                <w:b/>
                <w:bCs/>
                <w:color w:val="FFFFFF" w:themeColor="background1"/>
                <w:sz w:val="18"/>
                <w:szCs w:val="14"/>
              </w:rPr>
              <w:t xml:space="preserve">MARCHE REGLEMENTE </w:t>
            </w:r>
            <w:proofErr w:type="gramStart"/>
            <w:r w:rsidRPr="0073664F">
              <w:rPr>
                <w:rStyle w:val="CharacterStyle2"/>
                <w:rFonts w:ascii="Calibri" w:eastAsiaTheme="majorEastAsia" w:hAnsi="Calibri" w:cs="Calibri"/>
                <w:b/>
                <w:bCs/>
                <w:color w:val="FFFFFF" w:themeColor="background1"/>
                <w:sz w:val="18"/>
                <w:szCs w:val="14"/>
              </w:rPr>
              <w:t>:</w:t>
            </w:r>
            <w:proofErr w:type="gramEnd"/>
            <w:r w:rsidRPr="0073664F">
              <w:rPr>
                <w:rStyle w:val="CharacterStyle2"/>
                <w:rFonts w:ascii="Calibri" w:eastAsiaTheme="majorEastAsia" w:hAnsi="Calibri" w:cs="Calibri"/>
                <w:b/>
                <w:bCs/>
                <w:color w:val="FFFFFF" w:themeColor="background1"/>
                <w:sz w:val="18"/>
                <w:szCs w:val="14"/>
              </w:rPr>
              <w:br/>
              <w:t>COMPARTIMENT GENERAL</w:t>
            </w:r>
          </w:p>
        </w:tc>
        <w:tc>
          <w:tcPr>
            <w:tcW w:w="3132" w:type="dxa"/>
            <w:gridSpan w:val="3"/>
            <w:shd w:val="clear" w:color="auto" w:fill="666666" w:themeFill="text2"/>
            <w:vAlign w:val="center"/>
          </w:tcPr>
          <w:p w:rsidR="009B0114" w:rsidRPr="0073664F" w:rsidRDefault="009B0114" w:rsidP="00B17386">
            <w:pPr>
              <w:pStyle w:val="Style10"/>
              <w:kinsoku w:val="0"/>
              <w:autoSpaceDE/>
              <w:autoSpaceDN/>
              <w:adjustRightInd/>
              <w:jc w:val="center"/>
              <w:rPr>
                <w:rStyle w:val="CharacterStyle2"/>
                <w:rFonts w:ascii="Calibri" w:eastAsiaTheme="majorEastAsia" w:hAnsi="Calibri" w:cs="Calibri"/>
                <w:b/>
                <w:bCs/>
                <w:color w:val="FFFFFF" w:themeColor="background1"/>
                <w:sz w:val="18"/>
                <w:szCs w:val="14"/>
              </w:rPr>
            </w:pPr>
            <w:r w:rsidRPr="0073664F">
              <w:rPr>
                <w:rStyle w:val="CharacterStyle2"/>
                <w:rFonts w:ascii="Calibri" w:eastAsiaTheme="majorEastAsia" w:hAnsi="Calibri" w:cs="Calibri"/>
                <w:b/>
                <w:bCs/>
                <w:color w:val="FFFFFF" w:themeColor="background1"/>
                <w:sz w:val="18"/>
                <w:szCs w:val="14"/>
              </w:rPr>
              <w:t>ALTERNEXT</w:t>
            </w:r>
          </w:p>
        </w:tc>
      </w:tr>
      <w:tr w:rsidR="009B0114" w:rsidRPr="0073664F" w:rsidTr="00B17386">
        <w:trPr>
          <w:trHeight w:hRule="exact" w:val="465"/>
        </w:trPr>
        <w:tc>
          <w:tcPr>
            <w:tcW w:w="2835" w:type="dxa"/>
            <w:gridSpan w:val="2"/>
          </w:tcPr>
          <w:p w:rsidR="009B0114" w:rsidRPr="0073664F" w:rsidRDefault="009B0114" w:rsidP="00B17386">
            <w:pPr>
              <w:pStyle w:val="Style20"/>
              <w:kinsoku w:val="0"/>
              <w:autoSpaceDE/>
              <w:autoSpaceDN/>
              <w:ind w:left="0"/>
              <w:rPr>
                <w:rStyle w:val="CharacterStyle1"/>
                <w:rFonts w:ascii="Calibri" w:hAnsi="Calibri" w:cs="Calibri"/>
                <w:spacing w:val="6"/>
                <w:sz w:val="14"/>
                <w:szCs w:val="14"/>
              </w:rPr>
            </w:pPr>
            <w:r w:rsidRPr="0073664F">
              <w:rPr>
                <w:rStyle w:val="CharacterStyle1"/>
                <w:rFonts w:ascii="Calibri" w:hAnsi="Calibri" w:cs="Calibri"/>
                <w:spacing w:val="3"/>
                <w:sz w:val="14"/>
                <w:szCs w:val="14"/>
              </w:rPr>
              <w:t xml:space="preserve">Normes comptables à utiliser pour la préparation des </w:t>
            </w:r>
            <w:r w:rsidRPr="0073664F">
              <w:rPr>
                <w:rStyle w:val="CharacterStyle1"/>
                <w:rFonts w:ascii="Calibri" w:hAnsi="Calibri" w:cs="Calibri"/>
                <w:spacing w:val="6"/>
                <w:sz w:val="14"/>
                <w:szCs w:val="14"/>
              </w:rPr>
              <w:t>comptes consolidés</w:t>
            </w:r>
          </w:p>
        </w:tc>
        <w:tc>
          <w:tcPr>
            <w:tcW w:w="3112" w:type="dxa"/>
          </w:tcPr>
          <w:p w:rsidR="009B0114" w:rsidRPr="0073664F" w:rsidRDefault="009B0114" w:rsidP="00B17386">
            <w:pPr>
              <w:pStyle w:val="Style20"/>
              <w:kinsoku w:val="0"/>
              <w:autoSpaceDE/>
              <w:autoSpaceDN/>
              <w:ind w:left="0"/>
              <w:rPr>
                <w:rStyle w:val="CharacterStyle1"/>
                <w:rFonts w:ascii="Calibri" w:hAnsi="Calibri" w:cs="Calibri"/>
                <w:spacing w:val="6"/>
                <w:sz w:val="14"/>
                <w:szCs w:val="14"/>
              </w:rPr>
            </w:pPr>
            <w:r w:rsidRPr="0073664F">
              <w:rPr>
                <w:rStyle w:val="CharacterStyle1"/>
                <w:rFonts w:ascii="Calibri" w:hAnsi="Calibri" w:cs="Calibri"/>
                <w:spacing w:val="1"/>
                <w:sz w:val="14"/>
                <w:szCs w:val="14"/>
              </w:rPr>
              <w:t xml:space="preserve">Normes comptables internationales Règlement CE </w:t>
            </w:r>
            <w:r w:rsidRPr="0073664F">
              <w:rPr>
                <w:rStyle w:val="CharacterStyle1"/>
                <w:rFonts w:ascii="Calibri" w:hAnsi="Calibri" w:cs="Calibri"/>
                <w:spacing w:val="6"/>
                <w:sz w:val="14"/>
                <w:szCs w:val="14"/>
              </w:rPr>
              <w:t>n°1606/2002</w:t>
            </w:r>
          </w:p>
        </w:tc>
        <w:tc>
          <w:tcPr>
            <w:tcW w:w="3132" w:type="dxa"/>
            <w:gridSpan w:val="3"/>
          </w:tcPr>
          <w:p w:rsidR="009B0114" w:rsidRPr="0073664F" w:rsidRDefault="009B0114" w:rsidP="00B17386">
            <w:pPr>
              <w:pStyle w:val="Style20"/>
              <w:kinsoku w:val="0"/>
              <w:autoSpaceDE/>
              <w:autoSpaceDN/>
              <w:ind w:left="0"/>
              <w:rPr>
                <w:rStyle w:val="CharacterStyle1"/>
                <w:rFonts w:ascii="Calibri" w:hAnsi="Calibri" w:cs="Calibri"/>
                <w:spacing w:val="7"/>
                <w:sz w:val="14"/>
                <w:szCs w:val="14"/>
              </w:rPr>
            </w:pPr>
            <w:r w:rsidRPr="0073664F">
              <w:rPr>
                <w:rStyle w:val="CharacterStyle1"/>
                <w:rFonts w:ascii="Calibri" w:hAnsi="Calibri" w:cs="Calibri"/>
                <w:sz w:val="14"/>
                <w:szCs w:val="14"/>
              </w:rPr>
              <w:t xml:space="preserve">Règlement CRC n°99-02 ou, sur option, les normes </w:t>
            </w:r>
            <w:r w:rsidRPr="0073664F">
              <w:rPr>
                <w:rStyle w:val="CharacterStyle1"/>
                <w:rFonts w:ascii="Calibri" w:hAnsi="Calibri" w:cs="Calibri"/>
                <w:spacing w:val="7"/>
                <w:sz w:val="14"/>
                <w:szCs w:val="14"/>
              </w:rPr>
              <w:t>comptables internationales</w:t>
            </w:r>
          </w:p>
        </w:tc>
      </w:tr>
      <w:tr w:rsidR="009B0114" w:rsidRPr="0073664F" w:rsidTr="00B17386">
        <w:trPr>
          <w:trHeight w:hRule="exact" w:val="824"/>
        </w:trPr>
        <w:tc>
          <w:tcPr>
            <w:tcW w:w="2835" w:type="dxa"/>
            <w:gridSpan w:val="2"/>
            <w:vAlign w:val="center"/>
          </w:tcPr>
          <w:p w:rsidR="009B0114" w:rsidRPr="0073664F" w:rsidRDefault="009B0114" w:rsidP="00B17386">
            <w:pPr>
              <w:pStyle w:val="Style20"/>
              <w:kinsoku w:val="0"/>
              <w:autoSpaceDE/>
              <w:autoSpaceDN/>
              <w:ind w:left="0"/>
              <w:rPr>
                <w:rStyle w:val="CharacterStyle1"/>
                <w:rFonts w:ascii="Calibri" w:hAnsi="Calibri" w:cs="Calibri"/>
                <w:spacing w:val="6"/>
                <w:sz w:val="14"/>
                <w:szCs w:val="14"/>
              </w:rPr>
            </w:pPr>
            <w:r w:rsidRPr="0073664F">
              <w:rPr>
                <w:rStyle w:val="CharacterStyle1"/>
                <w:rFonts w:ascii="Calibri" w:hAnsi="Calibri" w:cs="Calibri"/>
                <w:spacing w:val="6"/>
                <w:sz w:val="14"/>
                <w:szCs w:val="14"/>
              </w:rPr>
              <w:t>Diffusion de l'information financière</w:t>
            </w:r>
          </w:p>
        </w:tc>
        <w:tc>
          <w:tcPr>
            <w:tcW w:w="3112" w:type="dxa"/>
            <w:vAlign w:val="center"/>
          </w:tcPr>
          <w:p w:rsidR="009B0114" w:rsidRPr="0073664F" w:rsidRDefault="009B0114" w:rsidP="00B17386">
            <w:pPr>
              <w:pStyle w:val="Style10"/>
              <w:kinsoku w:val="0"/>
              <w:autoSpaceDE/>
              <w:autoSpaceDN/>
              <w:adjustRightInd/>
              <w:jc w:val="both"/>
              <w:rPr>
                <w:rStyle w:val="CharacterStyle2"/>
                <w:rFonts w:ascii="Calibri" w:eastAsiaTheme="majorEastAsia" w:hAnsi="Calibri" w:cs="Calibri"/>
                <w:spacing w:val="6"/>
                <w:sz w:val="14"/>
                <w:szCs w:val="14"/>
              </w:rPr>
            </w:pPr>
            <w:r w:rsidRPr="0073664F">
              <w:rPr>
                <w:rStyle w:val="CharacterStyle2"/>
                <w:rFonts w:ascii="Calibri" w:eastAsiaTheme="majorEastAsia" w:hAnsi="Calibri" w:cs="Calibri"/>
                <w:spacing w:val="4"/>
                <w:sz w:val="14"/>
                <w:szCs w:val="14"/>
              </w:rPr>
              <w:t xml:space="preserve">Diffusion effective et intégrale par voie électronique </w:t>
            </w:r>
            <w:r w:rsidRPr="0073664F">
              <w:rPr>
                <w:rStyle w:val="CharacterStyle2"/>
                <w:rFonts w:ascii="Calibri" w:eastAsiaTheme="majorEastAsia" w:hAnsi="Calibri" w:cs="Calibri"/>
                <w:spacing w:val="5"/>
                <w:sz w:val="14"/>
                <w:szCs w:val="14"/>
              </w:rPr>
              <w:t xml:space="preserve">selon les modalités définies par le règlement général </w:t>
            </w:r>
            <w:r w:rsidRPr="0073664F">
              <w:rPr>
                <w:rStyle w:val="CharacterStyle2"/>
                <w:rFonts w:ascii="Calibri" w:eastAsiaTheme="majorEastAsia" w:hAnsi="Calibri" w:cs="Calibri"/>
                <w:spacing w:val="6"/>
                <w:sz w:val="14"/>
                <w:szCs w:val="14"/>
              </w:rPr>
              <w:t>ou par l'intermédiaire d'un diffuseur professionnel.</w:t>
            </w:r>
          </w:p>
        </w:tc>
        <w:tc>
          <w:tcPr>
            <w:tcW w:w="3132" w:type="dxa"/>
            <w:gridSpan w:val="3"/>
            <w:vAlign w:val="center"/>
          </w:tcPr>
          <w:p w:rsidR="009B0114" w:rsidRPr="0073664F" w:rsidRDefault="009B0114" w:rsidP="00B17386">
            <w:pPr>
              <w:pStyle w:val="Style10"/>
              <w:kinsoku w:val="0"/>
              <w:autoSpaceDE/>
              <w:autoSpaceDN/>
              <w:adjustRightInd/>
              <w:rPr>
                <w:rStyle w:val="CharacterStyle2"/>
                <w:rFonts w:ascii="Calibri" w:eastAsiaTheme="majorEastAsia" w:hAnsi="Calibri" w:cs="Calibri"/>
                <w:spacing w:val="6"/>
                <w:sz w:val="14"/>
                <w:szCs w:val="14"/>
              </w:rPr>
            </w:pPr>
            <w:r w:rsidRPr="0073664F">
              <w:rPr>
                <w:rStyle w:val="CharacterStyle2"/>
                <w:rFonts w:ascii="Calibri" w:eastAsiaTheme="majorEastAsia" w:hAnsi="Calibri" w:cs="Calibri"/>
                <w:spacing w:val="1"/>
                <w:sz w:val="14"/>
                <w:szCs w:val="14"/>
              </w:rPr>
              <w:t xml:space="preserve">Mise en ligne sur le site internet de la société et celui </w:t>
            </w:r>
            <w:r w:rsidRPr="0073664F">
              <w:rPr>
                <w:rStyle w:val="CharacterStyle2"/>
                <w:rFonts w:ascii="Calibri" w:eastAsiaTheme="majorEastAsia" w:hAnsi="Calibri" w:cs="Calibri"/>
                <w:spacing w:val="6"/>
                <w:sz w:val="14"/>
                <w:szCs w:val="14"/>
              </w:rPr>
              <w:t>d'Alternext.</w:t>
            </w:r>
          </w:p>
        </w:tc>
      </w:tr>
      <w:tr w:rsidR="009B0114" w:rsidRPr="0073664F" w:rsidTr="00B17386">
        <w:trPr>
          <w:cantSplit/>
          <w:trHeight w:hRule="exact" w:val="406"/>
        </w:trPr>
        <w:tc>
          <w:tcPr>
            <w:tcW w:w="993" w:type="dxa"/>
            <w:vMerge w:val="restart"/>
            <w:vAlign w:val="center"/>
          </w:tcPr>
          <w:p w:rsidR="009B0114" w:rsidRPr="0073664F" w:rsidRDefault="009B0114" w:rsidP="00B17386">
            <w:pPr>
              <w:pStyle w:val="Style20"/>
              <w:kinsoku w:val="0"/>
              <w:autoSpaceDE/>
              <w:autoSpaceDN/>
              <w:ind w:left="0"/>
              <w:rPr>
                <w:rStyle w:val="CharacterStyle1"/>
                <w:rFonts w:ascii="Calibri" w:hAnsi="Calibri" w:cs="Calibri"/>
                <w:spacing w:val="2"/>
                <w:sz w:val="14"/>
                <w:szCs w:val="14"/>
              </w:rPr>
            </w:pPr>
            <w:r w:rsidRPr="0073664F">
              <w:rPr>
                <w:rStyle w:val="CharacterStyle1"/>
                <w:rFonts w:ascii="Calibri" w:hAnsi="Calibri" w:cs="Calibri"/>
                <w:spacing w:val="4"/>
                <w:sz w:val="14"/>
                <w:szCs w:val="14"/>
              </w:rPr>
              <w:t xml:space="preserve">INFORMATION PERMANENTE </w:t>
            </w:r>
            <w:r w:rsidRPr="0073664F">
              <w:rPr>
                <w:rStyle w:val="CharacterStyle1"/>
                <w:rFonts w:ascii="Calibri" w:hAnsi="Calibri" w:cs="Calibri"/>
                <w:spacing w:val="2"/>
                <w:sz w:val="14"/>
                <w:szCs w:val="14"/>
              </w:rPr>
              <w:t>ET PERIODIQUE</w:t>
            </w:r>
          </w:p>
        </w:tc>
        <w:tc>
          <w:tcPr>
            <w:tcW w:w="1842" w:type="dxa"/>
          </w:tcPr>
          <w:p w:rsidR="009B0114" w:rsidRPr="0073664F" w:rsidRDefault="009B0114" w:rsidP="00B17386">
            <w:pPr>
              <w:pStyle w:val="Style10"/>
              <w:kinsoku w:val="0"/>
              <w:autoSpaceDE/>
              <w:autoSpaceDN/>
              <w:adjustRightInd/>
              <w:rPr>
                <w:rStyle w:val="CharacterStyle2"/>
                <w:rFonts w:ascii="Calibri" w:eastAsiaTheme="majorEastAsia" w:hAnsi="Calibri" w:cs="Calibri"/>
                <w:spacing w:val="8"/>
                <w:sz w:val="14"/>
                <w:szCs w:val="14"/>
              </w:rPr>
            </w:pPr>
            <w:r w:rsidRPr="0073664F">
              <w:rPr>
                <w:rStyle w:val="CharacterStyle2"/>
                <w:rFonts w:ascii="Calibri" w:eastAsiaTheme="majorEastAsia" w:hAnsi="Calibri" w:cs="Calibri"/>
                <w:spacing w:val="2"/>
                <w:sz w:val="14"/>
                <w:szCs w:val="14"/>
              </w:rPr>
              <w:t xml:space="preserve">Obligation d'information </w:t>
            </w:r>
            <w:r w:rsidRPr="0073664F">
              <w:rPr>
                <w:rStyle w:val="CharacterStyle2"/>
                <w:rFonts w:ascii="Calibri" w:eastAsiaTheme="majorEastAsia" w:hAnsi="Calibri" w:cs="Calibri"/>
                <w:spacing w:val="8"/>
                <w:sz w:val="14"/>
                <w:szCs w:val="14"/>
              </w:rPr>
              <w:t>permanente</w:t>
            </w:r>
          </w:p>
        </w:tc>
        <w:tc>
          <w:tcPr>
            <w:tcW w:w="3112" w:type="dxa"/>
            <w:vAlign w:val="center"/>
          </w:tcPr>
          <w:p w:rsidR="009B0114" w:rsidRPr="0073664F" w:rsidRDefault="009B0114" w:rsidP="00B17386">
            <w:pPr>
              <w:pStyle w:val="Style20"/>
              <w:kinsoku w:val="0"/>
              <w:autoSpaceDE/>
              <w:autoSpaceDN/>
              <w:ind w:left="0"/>
              <w:rPr>
                <w:rStyle w:val="CharacterStyle1"/>
                <w:rFonts w:ascii="Calibri" w:hAnsi="Calibri" w:cs="Calibri"/>
                <w:sz w:val="14"/>
                <w:szCs w:val="14"/>
              </w:rPr>
            </w:pPr>
            <w:r w:rsidRPr="0073664F">
              <w:rPr>
                <w:rStyle w:val="CharacterStyle1"/>
                <w:rFonts w:ascii="Calibri" w:hAnsi="Calibri" w:cs="Calibri"/>
                <w:sz w:val="14"/>
                <w:szCs w:val="14"/>
              </w:rPr>
              <w:t>Oui</w:t>
            </w:r>
          </w:p>
        </w:tc>
        <w:tc>
          <w:tcPr>
            <w:tcW w:w="3132" w:type="dxa"/>
            <w:gridSpan w:val="3"/>
            <w:vAlign w:val="center"/>
          </w:tcPr>
          <w:p w:rsidR="009B0114" w:rsidRPr="0073664F" w:rsidRDefault="009B0114" w:rsidP="00B17386">
            <w:pPr>
              <w:pStyle w:val="Style20"/>
              <w:kinsoku w:val="0"/>
              <w:autoSpaceDE/>
              <w:autoSpaceDN/>
              <w:ind w:left="0"/>
              <w:rPr>
                <w:rStyle w:val="CharacterStyle1"/>
                <w:rFonts w:ascii="Calibri" w:hAnsi="Calibri" w:cs="Calibri"/>
                <w:sz w:val="14"/>
                <w:szCs w:val="14"/>
              </w:rPr>
            </w:pPr>
            <w:r w:rsidRPr="0073664F">
              <w:rPr>
                <w:rStyle w:val="CharacterStyle1"/>
                <w:rFonts w:ascii="Calibri" w:hAnsi="Calibri" w:cs="Calibri"/>
                <w:sz w:val="14"/>
                <w:szCs w:val="14"/>
              </w:rPr>
              <w:t>Oui</w:t>
            </w:r>
          </w:p>
        </w:tc>
      </w:tr>
      <w:tr w:rsidR="009B0114" w:rsidRPr="0073664F" w:rsidTr="00B17386">
        <w:trPr>
          <w:cantSplit/>
          <w:trHeight w:hRule="exact" w:val="1122"/>
        </w:trPr>
        <w:tc>
          <w:tcPr>
            <w:tcW w:w="993" w:type="dxa"/>
            <w:vMerge/>
            <w:vAlign w:val="center"/>
          </w:tcPr>
          <w:p w:rsidR="009B0114" w:rsidRPr="0073664F" w:rsidRDefault="009B0114" w:rsidP="00B17386">
            <w:pPr>
              <w:rPr>
                <w:rStyle w:val="CharacterStyle1"/>
                <w:rFonts w:cs="Calibri"/>
                <w:sz w:val="14"/>
                <w:szCs w:val="14"/>
              </w:rPr>
            </w:pPr>
          </w:p>
        </w:tc>
        <w:tc>
          <w:tcPr>
            <w:tcW w:w="1842" w:type="dxa"/>
            <w:vAlign w:val="center"/>
          </w:tcPr>
          <w:p w:rsidR="009B0114" w:rsidRPr="0073664F" w:rsidRDefault="009B0114" w:rsidP="00B17386">
            <w:pPr>
              <w:pStyle w:val="Style20"/>
              <w:kinsoku w:val="0"/>
              <w:autoSpaceDE/>
              <w:autoSpaceDN/>
              <w:ind w:left="0"/>
              <w:rPr>
                <w:rStyle w:val="CharacterStyle1"/>
                <w:rFonts w:ascii="Calibri" w:hAnsi="Calibri" w:cs="Calibri"/>
                <w:sz w:val="14"/>
                <w:szCs w:val="14"/>
              </w:rPr>
            </w:pPr>
            <w:r w:rsidRPr="0073664F">
              <w:rPr>
                <w:rStyle w:val="CharacterStyle1"/>
                <w:rFonts w:ascii="Calibri" w:hAnsi="Calibri" w:cs="Calibri"/>
                <w:spacing w:val="2"/>
                <w:sz w:val="14"/>
                <w:szCs w:val="14"/>
              </w:rPr>
              <w:t xml:space="preserve">Rapport financier annuel (4 </w:t>
            </w:r>
            <w:r w:rsidRPr="0073664F">
              <w:rPr>
                <w:rStyle w:val="CharacterStyle1"/>
                <w:rFonts w:ascii="Calibri" w:hAnsi="Calibri" w:cs="Calibri"/>
                <w:sz w:val="14"/>
                <w:szCs w:val="14"/>
              </w:rPr>
              <w:t>mois)</w:t>
            </w:r>
          </w:p>
        </w:tc>
        <w:tc>
          <w:tcPr>
            <w:tcW w:w="3112" w:type="dxa"/>
            <w:vAlign w:val="center"/>
          </w:tcPr>
          <w:p w:rsidR="009B0114" w:rsidRPr="0073664F" w:rsidRDefault="009B0114" w:rsidP="00B17386">
            <w:pPr>
              <w:pStyle w:val="Style20"/>
              <w:kinsoku w:val="0"/>
              <w:autoSpaceDE/>
              <w:autoSpaceDN/>
              <w:ind w:left="0"/>
              <w:rPr>
                <w:rStyle w:val="CharacterStyle1"/>
                <w:rFonts w:ascii="Calibri" w:hAnsi="Calibri" w:cs="Calibri"/>
                <w:sz w:val="14"/>
                <w:szCs w:val="14"/>
              </w:rPr>
            </w:pPr>
            <w:r w:rsidRPr="0073664F">
              <w:rPr>
                <w:rStyle w:val="CharacterStyle1"/>
                <w:rFonts w:ascii="Calibri" w:hAnsi="Calibri" w:cs="Calibri"/>
                <w:sz w:val="14"/>
                <w:szCs w:val="14"/>
              </w:rPr>
              <w:t>Oui</w:t>
            </w:r>
          </w:p>
          <w:p w:rsidR="009B0114" w:rsidRPr="0073664F" w:rsidRDefault="009B0114" w:rsidP="00B17386">
            <w:pPr>
              <w:pStyle w:val="Style10"/>
              <w:kinsoku w:val="0"/>
              <w:autoSpaceDE/>
              <w:autoSpaceDN/>
              <w:adjustRightInd/>
              <w:rPr>
                <w:rStyle w:val="CharacterStyle2"/>
                <w:rFonts w:ascii="Calibri" w:eastAsiaTheme="majorEastAsia" w:hAnsi="Calibri" w:cs="Calibri"/>
                <w:sz w:val="14"/>
                <w:szCs w:val="14"/>
              </w:rPr>
            </w:pPr>
            <w:r w:rsidRPr="0073664F">
              <w:rPr>
                <w:rStyle w:val="CharacterStyle2"/>
                <w:rFonts w:ascii="Calibri" w:eastAsiaTheme="majorEastAsia" w:hAnsi="Calibri" w:cs="Calibri"/>
                <w:spacing w:val="2"/>
                <w:sz w:val="14"/>
                <w:szCs w:val="14"/>
              </w:rPr>
              <w:t xml:space="preserve">L.451-1-2, I du code monétaire et financier 222-3 du </w:t>
            </w:r>
            <w:r w:rsidRPr="0073664F">
              <w:rPr>
                <w:rStyle w:val="CharacterStyle2"/>
                <w:rFonts w:ascii="Calibri" w:eastAsiaTheme="majorEastAsia" w:hAnsi="Calibri" w:cs="Calibri"/>
                <w:sz w:val="14"/>
                <w:szCs w:val="14"/>
              </w:rPr>
              <w:t>RGAMF</w:t>
            </w:r>
          </w:p>
        </w:tc>
        <w:tc>
          <w:tcPr>
            <w:tcW w:w="3132" w:type="dxa"/>
            <w:gridSpan w:val="3"/>
          </w:tcPr>
          <w:p w:rsidR="009B0114" w:rsidRPr="0073664F" w:rsidRDefault="009B0114" w:rsidP="00B17386">
            <w:pPr>
              <w:pStyle w:val="Style20"/>
              <w:kinsoku w:val="0"/>
              <w:autoSpaceDE/>
              <w:autoSpaceDN/>
              <w:ind w:left="0"/>
              <w:rPr>
                <w:rStyle w:val="CharacterStyle1"/>
                <w:rFonts w:ascii="Calibri" w:hAnsi="Calibri" w:cs="Calibri"/>
                <w:spacing w:val="5"/>
                <w:sz w:val="14"/>
                <w:szCs w:val="14"/>
              </w:rPr>
            </w:pPr>
            <w:r w:rsidRPr="0073664F">
              <w:rPr>
                <w:rStyle w:val="CharacterStyle1"/>
                <w:rFonts w:ascii="Calibri" w:hAnsi="Calibri" w:cs="Calibri"/>
                <w:spacing w:val="5"/>
                <w:sz w:val="14"/>
                <w:szCs w:val="14"/>
              </w:rPr>
              <w:t xml:space="preserve">Comptes annuels et rapport de gestion dans les quatre mois et, le cas échéant, comptes consolidés et rapport de gestion </w:t>
            </w:r>
            <w:r w:rsidRPr="0073664F">
              <w:rPr>
                <w:rStyle w:val="CharacterStyle1"/>
                <w:rFonts w:ascii="Calibri" w:hAnsi="Calibri" w:cs="Calibri"/>
                <w:spacing w:val="6"/>
                <w:sz w:val="14"/>
                <w:szCs w:val="14"/>
              </w:rPr>
              <w:t xml:space="preserve">du groupe ainsi que les rapports d'audit sur les comptes </w:t>
            </w:r>
            <w:r w:rsidRPr="0073664F">
              <w:rPr>
                <w:rStyle w:val="CharacterStyle1"/>
                <w:rFonts w:ascii="Calibri" w:hAnsi="Calibri" w:cs="Calibri"/>
                <w:spacing w:val="7"/>
                <w:sz w:val="14"/>
                <w:szCs w:val="14"/>
              </w:rPr>
              <w:t xml:space="preserve">précités. Mise en ligne sur le site de la société et celui </w:t>
            </w:r>
            <w:r w:rsidRPr="0073664F">
              <w:rPr>
                <w:rStyle w:val="CharacterStyle1"/>
                <w:rFonts w:ascii="Calibri" w:hAnsi="Calibri" w:cs="Calibri"/>
                <w:spacing w:val="5"/>
                <w:sz w:val="14"/>
                <w:szCs w:val="14"/>
              </w:rPr>
              <w:t>d'Alternext (Article 4.2 des règles d'Alternext).</w:t>
            </w:r>
          </w:p>
        </w:tc>
      </w:tr>
      <w:tr w:rsidR="009B0114" w:rsidRPr="0073664F" w:rsidTr="00B17386">
        <w:trPr>
          <w:cantSplit/>
          <w:trHeight w:hRule="exact" w:val="429"/>
        </w:trPr>
        <w:tc>
          <w:tcPr>
            <w:tcW w:w="993" w:type="dxa"/>
            <w:vMerge/>
            <w:vAlign w:val="center"/>
          </w:tcPr>
          <w:p w:rsidR="009B0114" w:rsidRPr="0073664F" w:rsidRDefault="009B0114" w:rsidP="00B17386">
            <w:pPr>
              <w:rPr>
                <w:rStyle w:val="CharacterStyle1"/>
                <w:rFonts w:cs="Calibri"/>
                <w:spacing w:val="5"/>
                <w:sz w:val="14"/>
                <w:szCs w:val="14"/>
              </w:rPr>
            </w:pPr>
          </w:p>
        </w:tc>
        <w:tc>
          <w:tcPr>
            <w:tcW w:w="1842" w:type="dxa"/>
            <w:vAlign w:val="center"/>
          </w:tcPr>
          <w:p w:rsidR="009B0114" w:rsidRPr="0073664F" w:rsidRDefault="009B0114" w:rsidP="00B17386">
            <w:pPr>
              <w:pStyle w:val="Style20"/>
              <w:kinsoku w:val="0"/>
              <w:autoSpaceDE/>
              <w:autoSpaceDN/>
              <w:ind w:left="0"/>
              <w:rPr>
                <w:rStyle w:val="CharacterStyle1"/>
                <w:rFonts w:ascii="Calibri" w:hAnsi="Calibri" w:cs="Calibri"/>
                <w:spacing w:val="6"/>
                <w:sz w:val="14"/>
                <w:szCs w:val="14"/>
              </w:rPr>
            </w:pPr>
            <w:r w:rsidRPr="0073664F">
              <w:rPr>
                <w:rStyle w:val="CharacterStyle1"/>
                <w:rFonts w:ascii="Calibri" w:hAnsi="Calibri" w:cs="Calibri"/>
                <w:spacing w:val="6"/>
                <w:sz w:val="14"/>
                <w:szCs w:val="14"/>
              </w:rPr>
              <w:t>Information pro forma</w:t>
            </w:r>
          </w:p>
        </w:tc>
        <w:tc>
          <w:tcPr>
            <w:tcW w:w="3112" w:type="dxa"/>
          </w:tcPr>
          <w:p w:rsidR="009B0114" w:rsidRPr="0073664F" w:rsidRDefault="009B0114" w:rsidP="00B17386">
            <w:pPr>
              <w:pStyle w:val="Style20"/>
              <w:kinsoku w:val="0"/>
              <w:autoSpaceDE/>
              <w:autoSpaceDN/>
              <w:ind w:left="0"/>
              <w:rPr>
                <w:rStyle w:val="CharacterStyle1"/>
                <w:rFonts w:ascii="Calibri" w:hAnsi="Calibri" w:cs="Calibri"/>
                <w:sz w:val="14"/>
                <w:szCs w:val="14"/>
              </w:rPr>
            </w:pPr>
            <w:r w:rsidRPr="0073664F">
              <w:rPr>
                <w:rStyle w:val="CharacterStyle1"/>
                <w:rFonts w:ascii="Calibri" w:hAnsi="Calibri" w:cs="Calibri"/>
                <w:sz w:val="14"/>
                <w:szCs w:val="14"/>
              </w:rPr>
              <w:t>Oui</w:t>
            </w:r>
          </w:p>
          <w:p w:rsidR="009B0114" w:rsidRPr="0073664F" w:rsidRDefault="009B0114" w:rsidP="00B17386">
            <w:pPr>
              <w:pStyle w:val="Style20"/>
              <w:kinsoku w:val="0"/>
              <w:autoSpaceDE/>
              <w:autoSpaceDN/>
              <w:ind w:left="0"/>
              <w:rPr>
                <w:rStyle w:val="CharacterStyle1"/>
                <w:rFonts w:ascii="Calibri" w:hAnsi="Calibri" w:cs="Calibri"/>
                <w:spacing w:val="6"/>
                <w:sz w:val="14"/>
                <w:szCs w:val="14"/>
              </w:rPr>
            </w:pPr>
            <w:r w:rsidRPr="0073664F">
              <w:rPr>
                <w:rStyle w:val="CharacterStyle1"/>
                <w:rFonts w:ascii="Calibri" w:hAnsi="Calibri" w:cs="Calibri"/>
                <w:spacing w:val="6"/>
                <w:sz w:val="14"/>
                <w:szCs w:val="14"/>
              </w:rPr>
              <w:t>222-2 du RGAMF</w:t>
            </w:r>
          </w:p>
        </w:tc>
        <w:tc>
          <w:tcPr>
            <w:tcW w:w="3132" w:type="dxa"/>
            <w:gridSpan w:val="3"/>
            <w:vAlign w:val="center"/>
          </w:tcPr>
          <w:p w:rsidR="009B0114" w:rsidRPr="0073664F" w:rsidRDefault="009B0114" w:rsidP="00B17386">
            <w:pPr>
              <w:pStyle w:val="Style20"/>
              <w:kinsoku w:val="0"/>
              <w:autoSpaceDE/>
              <w:autoSpaceDN/>
              <w:ind w:left="0"/>
              <w:rPr>
                <w:rStyle w:val="CharacterStyle1"/>
                <w:rFonts w:ascii="Calibri" w:hAnsi="Calibri" w:cs="Calibri"/>
                <w:sz w:val="14"/>
                <w:szCs w:val="14"/>
              </w:rPr>
            </w:pPr>
            <w:r w:rsidRPr="0073664F">
              <w:rPr>
                <w:rStyle w:val="CharacterStyle1"/>
                <w:rFonts w:ascii="Calibri" w:hAnsi="Calibri" w:cs="Calibri"/>
                <w:sz w:val="14"/>
                <w:szCs w:val="14"/>
              </w:rPr>
              <w:t>Non</w:t>
            </w:r>
          </w:p>
        </w:tc>
      </w:tr>
      <w:tr w:rsidR="009B0114" w:rsidRPr="0073664F" w:rsidTr="00B17386">
        <w:trPr>
          <w:cantSplit/>
          <w:trHeight w:hRule="exact" w:val="846"/>
        </w:trPr>
        <w:tc>
          <w:tcPr>
            <w:tcW w:w="993" w:type="dxa"/>
            <w:vMerge/>
            <w:vAlign w:val="center"/>
          </w:tcPr>
          <w:p w:rsidR="009B0114" w:rsidRPr="0073664F" w:rsidRDefault="009B0114" w:rsidP="00B17386">
            <w:pPr>
              <w:rPr>
                <w:rStyle w:val="CharacterStyle1"/>
                <w:rFonts w:cs="Calibri"/>
                <w:sz w:val="14"/>
                <w:szCs w:val="14"/>
              </w:rPr>
            </w:pPr>
          </w:p>
        </w:tc>
        <w:tc>
          <w:tcPr>
            <w:tcW w:w="1842" w:type="dxa"/>
            <w:vAlign w:val="center"/>
          </w:tcPr>
          <w:p w:rsidR="009B0114" w:rsidRPr="0073664F" w:rsidRDefault="009B0114" w:rsidP="00B17386">
            <w:pPr>
              <w:pStyle w:val="Style20"/>
              <w:kinsoku w:val="0"/>
              <w:autoSpaceDE/>
              <w:autoSpaceDN/>
              <w:ind w:left="0"/>
              <w:rPr>
                <w:rStyle w:val="CharacterStyle1"/>
                <w:rFonts w:ascii="Calibri" w:hAnsi="Calibri" w:cs="Calibri"/>
                <w:spacing w:val="2"/>
                <w:sz w:val="14"/>
                <w:szCs w:val="14"/>
              </w:rPr>
            </w:pPr>
            <w:r w:rsidRPr="0073664F">
              <w:rPr>
                <w:rStyle w:val="CharacterStyle1"/>
                <w:rFonts w:ascii="Calibri" w:hAnsi="Calibri" w:cs="Calibri"/>
                <w:spacing w:val="4"/>
                <w:sz w:val="14"/>
                <w:szCs w:val="14"/>
              </w:rPr>
              <w:t xml:space="preserve">Rapport financier semestriel </w:t>
            </w:r>
            <w:r w:rsidRPr="0073664F">
              <w:rPr>
                <w:rStyle w:val="CharacterStyle1"/>
                <w:rFonts w:ascii="Calibri" w:hAnsi="Calibri" w:cs="Calibri"/>
                <w:spacing w:val="2"/>
                <w:sz w:val="14"/>
                <w:szCs w:val="14"/>
              </w:rPr>
              <w:t>(2 mois)</w:t>
            </w:r>
          </w:p>
        </w:tc>
        <w:tc>
          <w:tcPr>
            <w:tcW w:w="3112" w:type="dxa"/>
          </w:tcPr>
          <w:p w:rsidR="009B0114" w:rsidRPr="0073664F" w:rsidRDefault="009B0114" w:rsidP="00B17386">
            <w:pPr>
              <w:pStyle w:val="Style20"/>
              <w:kinsoku w:val="0"/>
              <w:autoSpaceDE/>
              <w:autoSpaceDN/>
              <w:ind w:left="0"/>
              <w:rPr>
                <w:rStyle w:val="CharacterStyle1"/>
                <w:rFonts w:ascii="Calibri" w:hAnsi="Calibri" w:cs="Calibri"/>
                <w:sz w:val="14"/>
                <w:szCs w:val="14"/>
              </w:rPr>
            </w:pPr>
            <w:r w:rsidRPr="0073664F">
              <w:rPr>
                <w:rStyle w:val="CharacterStyle1"/>
                <w:rFonts w:ascii="Calibri" w:hAnsi="Calibri" w:cs="Calibri"/>
                <w:sz w:val="14"/>
                <w:szCs w:val="14"/>
              </w:rPr>
              <w:t>Oui</w:t>
            </w:r>
          </w:p>
          <w:p w:rsidR="009B0114" w:rsidRPr="0073664F" w:rsidRDefault="009B0114" w:rsidP="00B17386">
            <w:pPr>
              <w:pStyle w:val="Style10"/>
              <w:kinsoku w:val="0"/>
              <w:autoSpaceDE/>
              <w:autoSpaceDN/>
              <w:adjustRightInd/>
              <w:rPr>
                <w:rStyle w:val="CharacterStyle2"/>
                <w:rFonts w:ascii="Calibri" w:eastAsiaTheme="majorEastAsia" w:hAnsi="Calibri" w:cs="Calibri"/>
                <w:sz w:val="14"/>
                <w:szCs w:val="14"/>
              </w:rPr>
            </w:pPr>
            <w:r w:rsidRPr="0073664F">
              <w:rPr>
                <w:rStyle w:val="CharacterStyle2"/>
                <w:rFonts w:ascii="Calibri" w:eastAsiaTheme="majorEastAsia" w:hAnsi="Calibri" w:cs="Calibri"/>
                <w:spacing w:val="2"/>
                <w:sz w:val="14"/>
                <w:szCs w:val="14"/>
              </w:rPr>
              <w:t xml:space="preserve">L. 451-1-2,111 du code monétaire et financier 222-4 du </w:t>
            </w:r>
            <w:r w:rsidRPr="0073664F">
              <w:rPr>
                <w:rStyle w:val="CharacterStyle2"/>
                <w:rFonts w:ascii="Calibri" w:eastAsiaTheme="majorEastAsia" w:hAnsi="Calibri" w:cs="Calibri"/>
                <w:sz w:val="14"/>
                <w:szCs w:val="14"/>
              </w:rPr>
              <w:t>RGAMF</w:t>
            </w:r>
          </w:p>
        </w:tc>
        <w:tc>
          <w:tcPr>
            <w:tcW w:w="3132" w:type="dxa"/>
            <w:gridSpan w:val="3"/>
          </w:tcPr>
          <w:p w:rsidR="009B0114" w:rsidRPr="0073664F" w:rsidRDefault="009B0114" w:rsidP="00B17386">
            <w:pPr>
              <w:pStyle w:val="Style10"/>
              <w:kinsoku w:val="0"/>
              <w:autoSpaceDE/>
              <w:autoSpaceDN/>
              <w:adjustRightInd/>
              <w:jc w:val="both"/>
              <w:rPr>
                <w:rStyle w:val="CharacterStyle2"/>
                <w:rFonts w:ascii="Calibri" w:eastAsiaTheme="majorEastAsia" w:hAnsi="Calibri" w:cs="Calibri"/>
                <w:spacing w:val="5"/>
                <w:sz w:val="14"/>
                <w:szCs w:val="14"/>
              </w:rPr>
            </w:pPr>
            <w:r w:rsidRPr="0073664F">
              <w:rPr>
                <w:rStyle w:val="CharacterStyle2"/>
                <w:rFonts w:ascii="Calibri" w:eastAsiaTheme="majorEastAsia" w:hAnsi="Calibri" w:cs="Calibri"/>
                <w:spacing w:val="4"/>
                <w:sz w:val="14"/>
                <w:szCs w:val="14"/>
              </w:rPr>
              <w:t xml:space="preserve">Rapport semestriel dans les quatre mois (non audité) Mise en </w:t>
            </w:r>
            <w:r w:rsidRPr="0073664F">
              <w:rPr>
                <w:rStyle w:val="CharacterStyle2"/>
                <w:rFonts w:ascii="Calibri" w:eastAsiaTheme="majorEastAsia" w:hAnsi="Calibri" w:cs="Calibri"/>
                <w:spacing w:val="6"/>
                <w:sz w:val="14"/>
                <w:szCs w:val="14"/>
              </w:rPr>
              <w:t>ligne sur le sit</w:t>
            </w:r>
            <w:r>
              <w:rPr>
                <w:rStyle w:val="CharacterStyle2"/>
                <w:rFonts w:eastAsiaTheme="majorEastAsia" w:cs="Calibri"/>
                <w:spacing w:val="6"/>
                <w:sz w:val="14"/>
                <w:szCs w:val="14"/>
              </w:rPr>
              <w:t>e de la société et celui d'Altern</w:t>
            </w:r>
            <w:r w:rsidRPr="0073664F">
              <w:rPr>
                <w:rStyle w:val="CharacterStyle2"/>
                <w:rFonts w:ascii="Calibri" w:eastAsiaTheme="majorEastAsia" w:hAnsi="Calibri" w:cs="Calibri"/>
                <w:spacing w:val="6"/>
                <w:sz w:val="14"/>
                <w:szCs w:val="14"/>
              </w:rPr>
              <w:t xml:space="preserve">ext (Article 4.2 </w:t>
            </w:r>
            <w:r w:rsidRPr="0073664F">
              <w:rPr>
                <w:rStyle w:val="CharacterStyle2"/>
                <w:rFonts w:ascii="Calibri" w:eastAsiaTheme="majorEastAsia" w:hAnsi="Calibri" w:cs="Calibri"/>
                <w:spacing w:val="5"/>
                <w:sz w:val="14"/>
                <w:szCs w:val="14"/>
              </w:rPr>
              <w:t>des règles d'Alternext).</w:t>
            </w:r>
          </w:p>
        </w:tc>
      </w:tr>
      <w:tr w:rsidR="009B0114" w:rsidRPr="0073664F" w:rsidTr="00B17386">
        <w:trPr>
          <w:cantSplit/>
          <w:trHeight w:hRule="exact" w:val="764"/>
        </w:trPr>
        <w:tc>
          <w:tcPr>
            <w:tcW w:w="993" w:type="dxa"/>
            <w:vMerge/>
            <w:vAlign w:val="center"/>
          </w:tcPr>
          <w:p w:rsidR="009B0114" w:rsidRPr="0073664F" w:rsidRDefault="009B0114" w:rsidP="00B17386">
            <w:pPr>
              <w:rPr>
                <w:rStyle w:val="CharacterStyle2"/>
                <w:rFonts w:cs="Calibri"/>
                <w:spacing w:val="4"/>
                <w:sz w:val="14"/>
                <w:szCs w:val="14"/>
              </w:rPr>
            </w:pPr>
          </w:p>
        </w:tc>
        <w:tc>
          <w:tcPr>
            <w:tcW w:w="1842" w:type="dxa"/>
          </w:tcPr>
          <w:p w:rsidR="009B0114" w:rsidRPr="0073664F" w:rsidRDefault="009B0114" w:rsidP="00B17386">
            <w:pPr>
              <w:pStyle w:val="Style10"/>
              <w:kinsoku w:val="0"/>
              <w:autoSpaceDE/>
              <w:autoSpaceDN/>
              <w:adjustRightInd/>
              <w:jc w:val="both"/>
              <w:rPr>
                <w:rStyle w:val="CharacterStyle2"/>
                <w:rFonts w:ascii="Calibri" w:eastAsiaTheme="majorEastAsia" w:hAnsi="Calibri" w:cs="Calibri"/>
                <w:spacing w:val="6"/>
                <w:sz w:val="14"/>
                <w:szCs w:val="14"/>
              </w:rPr>
            </w:pPr>
            <w:r w:rsidRPr="0073664F">
              <w:rPr>
                <w:rStyle w:val="CharacterStyle2"/>
                <w:rFonts w:ascii="Calibri" w:eastAsiaTheme="majorEastAsia" w:hAnsi="Calibri" w:cs="Calibri"/>
                <w:spacing w:val="1"/>
                <w:sz w:val="14"/>
                <w:szCs w:val="14"/>
              </w:rPr>
              <w:t xml:space="preserve">Information trimestrielle (45j) </w:t>
            </w:r>
            <w:r w:rsidRPr="0073664F">
              <w:rPr>
                <w:rStyle w:val="CharacterStyle2"/>
                <w:rFonts w:ascii="Calibri" w:eastAsiaTheme="majorEastAsia" w:hAnsi="Calibri" w:cs="Calibri"/>
                <w:spacing w:val="6"/>
                <w:sz w:val="14"/>
                <w:szCs w:val="14"/>
              </w:rPr>
              <w:t xml:space="preserve">Montant net par branche </w:t>
            </w:r>
            <w:r w:rsidRPr="0073664F">
              <w:rPr>
                <w:rStyle w:val="CharacterStyle2"/>
                <w:rFonts w:ascii="Calibri" w:eastAsiaTheme="majorEastAsia" w:hAnsi="Calibri" w:cs="Calibri"/>
                <w:spacing w:val="4"/>
                <w:sz w:val="14"/>
                <w:szCs w:val="14"/>
              </w:rPr>
              <w:t xml:space="preserve">d'activité du chiffre d'affaires </w:t>
            </w:r>
            <w:r w:rsidRPr="0073664F">
              <w:rPr>
                <w:rStyle w:val="CharacterStyle2"/>
                <w:rFonts w:ascii="Calibri" w:eastAsiaTheme="majorEastAsia" w:hAnsi="Calibri" w:cs="Calibri"/>
                <w:spacing w:val="6"/>
                <w:sz w:val="14"/>
                <w:szCs w:val="14"/>
              </w:rPr>
              <w:t>du trimestre écoulé</w:t>
            </w:r>
          </w:p>
        </w:tc>
        <w:tc>
          <w:tcPr>
            <w:tcW w:w="3112" w:type="dxa"/>
            <w:vAlign w:val="center"/>
          </w:tcPr>
          <w:p w:rsidR="009B0114" w:rsidRDefault="009B0114" w:rsidP="00B17386">
            <w:pPr>
              <w:pStyle w:val="Style20"/>
              <w:tabs>
                <w:tab w:val="right" w:pos="2692"/>
              </w:tabs>
              <w:kinsoku w:val="0"/>
              <w:autoSpaceDE/>
              <w:autoSpaceDN/>
              <w:ind w:left="0"/>
              <w:rPr>
                <w:rStyle w:val="CharacterStyle1"/>
                <w:rFonts w:cs="Calibri"/>
                <w:sz w:val="14"/>
                <w:szCs w:val="14"/>
              </w:rPr>
            </w:pPr>
            <w:r>
              <w:rPr>
                <w:rStyle w:val="CharacterStyle1"/>
                <w:rFonts w:cs="Calibri"/>
                <w:sz w:val="14"/>
                <w:szCs w:val="14"/>
              </w:rPr>
              <w:t>Oui</w:t>
            </w:r>
          </w:p>
          <w:p w:rsidR="009B0114" w:rsidRPr="0073664F" w:rsidRDefault="009B0114" w:rsidP="00B17386">
            <w:pPr>
              <w:pStyle w:val="Style20"/>
              <w:tabs>
                <w:tab w:val="right" w:pos="2692"/>
              </w:tabs>
              <w:kinsoku w:val="0"/>
              <w:autoSpaceDE/>
              <w:autoSpaceDN/>
              <w:ind w:left="0"/>
              <w:rPr>
                <w:rStyle w:val="CharacterStyle1"/>
                <w:rFonts w:ascii="Calibri" w:hAnsi="Calibri" w:cs="Calibri"/>
                <w:spacing w:val="4"/>
                <w:sz w:val="14"/>
                <w:szCs w:val="14"/>
              </w:rPr>
            </w:pPr>
            <w:r w:rsidRPr="0073664F">
              <w:rPr>
                <w:rStyle w:val="CharacterStyle1"/>
                <w:rFonts w:ascii="Calibri" w:hAnsi="Calibri" w:cs="Calibri"/>
                <w:spacing w:val="4"/>
                <w:sz w:val="14"/>
                <w:szCs w:val="14"/>
              </w:rPr>
              <w:t>L.451-1-2, IV, 3°) du code monétaire et financier</w:t>
            </w:r>
          </w:p>
        </w:tc>
        <w:tc>
          <w:tcPr>
            <w:tcW w:w="3132" w:type="dxa"/>
            <w:gridSpan w:val="3"/>
            <w:vAlign w:val="center"/>
          </w:tcPr>
          <w:p w:rsidR="009B0114" w:rsidRPr="0073664F" w:rsidRDefault="009B0114" w:rsidP="00B17386">
            <w:pPr>
              <w:pStyle w:val="Style20"/>
              <w:kinsoku w:val="0"/>
              <w:autoSpaceDE/>
              <w:autoSpaceDN/>
              <w:ind w:left="0"/>
              <w:rPr>
                <w:rStyle w:val="CharacterStyle1"/>
                <w:rFonts w:ascii="Calibri" w:hAnsi="Calibri" w:cs="Calibri"/>
                <w:sz w:val="14"/>
                <w:szCs w:val="14"/>
              </w:rPr>
            </w:pPr>
            <w:r w:rsidRPr="0073664F">
              <w:rPr>
                <w:rStyle w:val="CharacterStyle1"/>
                <w:rFonts w:ascii="Calibri" w:hAnsi="Calibri" w:cs="Calibri"/>
                <w:sz w:val="14"/>
                <w:szCs w:val="14"/>
              </w:rPr>
              <w:t>Non</w:t>
            </w:r>
          </w:p>
        </w:tc>
      </w:tr>
      <w:tr w:rsidR="009B0114" w:rsidRPr="0073664F" w:rsidTr="00B17386">
        <w:trPr>
          <w:cantSplit/>
          <w:trHeight w:hRule="exact" w:val="2124"/>
        </w:trPr>
        <w:tc>
          <w:tcPr>
            <w:tcW w:w="993" w:type="dxa"/>
            <w:vMerge/>
            <w:vAlign w:val="center"/>
          </w:tcPr>
          <w:p w:rsidR="009B0114" w:rsidRPr="0073664F" w:rsidRDefault="009B0114" w:rsidP="00B17386">
            <w:pPr>
              <w:rPr>
                <w:rStyle w:val="CharacterStyle1"/>
                <w:rFonts w:cs="Calibri"/>
                <w:sz w:val="14"/>
                <w:szCs w:val="14"/>
              </w:rPr>
            </w:pPr>
          </w:p>
        </w:tc>
        <w:tc>
          <w:tcPr>
            <w:tcW w:w="1842" w:type="dxa"/>
          </w:tcPr>
          <w:p w:rsidR="009B0114" w:rsidRPr="0073664F" w:rsidRDefault="009B0114" w:rsidP="00B17386">
            <w:pPr>
              <w:pStyle w:val="Style20"/>
              <w:kinsoku w:val="0"/>
              <w:autoSpaceDE/>
              <w:autoSpaceDN/>
              <w:ind w:left="0"/>
              <w:rPr>
                <w:rStyle w:val="CharacterStyle1"/>
                <w:rFonts w:ascii="Calibri" w:hAnsi="Calibri" w:cs="Calibri"/>
                <w:spacing w:val="5"/>
                <w:sz w:val="14"/>
                <w:szCs w:val="14"/>
              </w:rPr>
            </w:pPr>
            <w:r w:rsidRPr="0073664F">
              <w:rPr>
                <w:rStyle w:val="CharacterStyle1"/>
                <w:rFonts w:ascii="Calibri" w:hAnsi="Calibri" w:cs="Calibri"/>
                <w:spacing w:val="5"/>
                <w:sz w:val="14"/>
                <w:szCs w:val="14"/>
              </w:rPr>
              <w:t>Franchissements de seuil</w:t>
            </w:r>
          </w:p>
          <w:p w:rsidR="009B0114" w:rsidRPr="0073664F" w:rsidRDefault="009B0114" w:rsidP="00B17386">
            <w:pPr>
              <w:pStyle w:val="Style10"/>
              <w:kinsoku w:val="0"/>
              <w:autoSpaceDE/>
              <w:autoSpaceDN/>
              <w:adjustRightInd/>
              <w:jc w:val="both"/>
              <w:rPr>
                <w:rStyle w:val="CharacterStyle2"/>
                <w:rFonts w:ascii="Calibri" w:eastAsiaTheme="majorEastAsia" w:hAnsi="Calibri" w:cs="Calibri"/>
                <w:sz w:val="14"/>
                <w:szCs w:val="14"/>
              </w:rPr>
            </w:pPr>
            <w:r w:rsidRPr="0073664F">
              <w:rPr>
                <w:rStyle w:val="CharacterStyle2"/>
                <w:rFonts w:ascii="Calibri" w:eastAsiaTheme="majorEastAsia" w:hAnsi="Calibri" w:cs="Calibri"/>
                <w:spacing w:val="5"/>
                <w:sz w:val="14"/>
                <w:szCs w:val="14"/>
              </w:rPr>
              <w:t xml:space="preserve">5%,10%, 15%, 20%, 25%, </w:t>
            </w:r>
            <w:r w:rsidRPr="0073664F">
              <w:rPr>
                <w:rStyle w:val="CharacterStyle2"/>
                <w:rFonts w:ascii="Calibri" w:eastAsiaTheme="majorEastAsia" w:hAnsi="Calibri" w:cs="Calibri"/>
                <w:spacing w:val="2"/>
                <w:sz w:val="14"/>
                <w:szCs w:val="14"/>
              </w:rPr>
              <w:t xml:space="preserve">1/3 %, 50%, 2/3 %, 90% et </w:t>
            </w:r>
            <w:r w:rsidRPr="0073664F">
              <w:rPr>
                <w:rStyle w:val="CharacterStyle2"/>
                <w:rFonts w:ascii="Calibri" w:eastAsiaTheme="majorEastAsia" w:hAnsi="Calibri" w:cs="Calibri"/>
                <w:sz w:val="14"/>
                <w:szCs w:val="14"/>
              </w:rPr>
              <w:t>95%</w:t>
            </w:r>
          </w:p>
        </w:tc>
        <w:tc>
          <w:tcPr>
            <w:tcW w:w="3112" w:type="dxa"/>
          </w:tcPr>
          <w:p w:rsidR="009B0114" w:rsidRDefault="009B0114" w:rsidP="00B17386">
            <w:pPr>
              <w:pStyle w:val="Style10"/>
              <w:kinsoku w:val="0"/>
              <w:autoSpaceDE/>
              <w:autoSpaceDN/>
              <w:adjustRightInd/>
              <w:rPr>
                <w:rStyle w:val="CharacterStyle2"/>
                <w:rFonts w:eastAsiaTheme="majorEastAsia" w:cs="Calibri"/>
                <w:spacing w:val="1"/>
                <w:sz w:val="14"/>
                <w:szCs w:val="14"/>
              </w:rPr>
            </w:pPr>
            <w:r w:rsidRPr="0073664F">
              <w:rPr>
                <w:rStyle w:val="CharacterStyle2"/>
                <w:rFonts w:ascii="Calibri" w:eastAsiaTheme="majorEastAsia" w:hAnsi="Calibri" w:cs="Calibri"/>
                <w:spacing w:val="1"/>
                <w:sz w:val="14"/>
                <w:szCs w:val="14"/>
              </w:rPr>
              <w:t>Oui (à la société et à l'AMF)</w:t>
            </w:r>
          </w:p>
          <w:p w:rsidR="009B0114" w:rsidRPr="0073664F" w:rsidRDefault="009B0114" w:rsidP="00B17386">
            <w:pPr>
              <w:pStyle w:val="Style10"/>
              <w:kinsoku w:val="0"/>
              <w:autoSpaceDE/>
              <w:autoSpaceDN/>
              <w:adjustRightInd/>
              <w:rPr>
                <w:rStyle w:val="CharacterStyle2"/>
                <w:rFonts w:ascii="Calibri" w:eastAsiaTheme="majorEastAsia" w:hAnsi="Calibri" w:cs="Calibri"/>
                <w:spacing w:val="8"/>
                <w:sz w:val="14"/>
                <w:szCs w:val="14"/>
              </w:rPr>
            </w:pPr>
            <w:r w:rsidRPr="0073664F">
              <w:rPr>
                <w:rStyle w:val="CharacterStyle2"/>
                <w:rFonts w:ascii="Calibri" w:eastAsiaTheme="majorEastAsia" w:hAnsi="Calibri" w:cs="Calibri"/>
                <w:spacing w:val="1"/>
                <w:sz w:val="14"/>
                <w:szCs w:val="14"/>
              </w:rPr>
              <w:t xml:space="preserve">L.233-7 et </w:t>
            </w:r>
            <w:proofErr w:type="spellStart"/>
            <w:r w:rsidRPr="0073664F">
              <w:rPr>
                <w:rStyle w:val="CharacterStyle2"/>
                <w:rFonts w:ascii="Calibri" w:eastAsiaTheme="majorEastAsia" w:hAnsi="Calibri" w:cs="Calibri"/>
                <w:spacing w:val="1"/>
                <w:sz w:val="14"/>
                <w:szCs w:val="14"/>
              </w:rPr>
              <w:t>suiv</w:t>
            </w:r>
            <w:proofErr w:type="spellEnd"/>
            <w:r w:rsidRPr="0073664F">
              <w:rPr>
                <w:rStyle w:val="CharacterStyle2"/>
                <w:rFonts w:ascii="Calibri" w:eastAsiaTheme="majorEastAsia" w:hAnsi="Calibri" w:cs="Calibri"/>
                <w:spacing w:val="1"/>
                <w:sz w:val="14"/>
                <w:szCs w:val="14"/>
              </w:rPr>
              <w:t xml:space="preserve">. du code de </w:t>
            </w:r>
            <w:r w:rsidRPr="0073664F">
              <w:rPr>
                <w:rStyle w:val="CharacterStyle2"/>
                <w:rFonts w:ascii="Calibri" w:eastAsiaTheme="majorEastAsia" w:hAnsi="Calibri" w:cs="Calibri"/>
                <w:spacing w:val="8"/>
                <w:sz w:val="14"/>
                <w:szCs w:val="14"/>
              </w:rPr>
              <w:t>commerce</w:t>
            </w:r>
          </w:p>
          <w:p w:rsidR="009B0114" w:rsidRPr="0073664F" w:rsidRDefault="009B0114" w:rsidP="00B17386">
            <w:pPr>
              <w:pStyle w:val="Style20"/>
              <w:kinsoku w:val="0"/>
              <w:autoSpaceDE/>
              <w:autoSpaceDN/>
              <w:ind w:left="0"/>
              <w:rPr>
                <w:rStyle w:val="CharacterStyle1"/>
                <w:rFonts w:ascii="Calibri" w:hAnsi="Calibri" w:cs="Calibri"/>
                <w:spacing w:val="5"/>
                <w:sz w:val="14"/>
                <w:szCs w:val="14"/>
              </w:rPr>
            </w:pPr>
            <w:r w:rsidRPr="0073664F">
              <w:rPr>
                <w:rStyle w:val="CharacterStyle1"/>
                <w:rFonts w:ascii="Calibri" w:hAnsi="Calibri" w:cs="Calibri"/>
                <w:spacing w:val="5"/>
                <w:sz w:val="14"/>
                <w:szCs w:val="14"/>
              </w:rPr>
              <w:t xml:space="preserve">223-11 et </w:t>
            </w:r>
            <w:proofErr w:type="spellStart"/>
            <w:r w:rsidRPr="0073664F">
              <w:rPr>
                <w:rStyle w:val="CharacterStyle1"/>
                <w:rFonts w:ascii="Calibri" w:hAnsi="Calibri" w:cs="Calibri"/>
                <w:spacing w:val="5"/>
                <w:sz w:val="14"/>
                <w:szCs w:val="14"/>
              </w:rPr>
              <w:t>suiv</w:t>
            </w:r>
            <w:proofErr w:type="spellEnd"/>
            <w:r w:rsidRPr="0073664F">
              <w:rPr>
                <w:rStyle w:val="CharacterStyle1"/>
                <w:rFonts w:ascii="Calibri" w:hAnsi="Calibri" w:cs="Calibri"/>
                <w:spacing w:val="5"/>
                <w:sz w:val="14"/>
                <w:szCs w:val="14"/>
              </w:rPr>
              <w:t>. du RGAMF</w:t>
            </w:r>
          </w:p>
        </w:tc>
        <w:tc>
          <w:tcPr>
            <w:tcW w:w="1841" w:type="dxa"/>
            <w:gridSpan w:val="2"/>
            <w:vAlign w:val="center"/>
          </w:tcPr>
          <w:p w:rsidR="009B0114" w:rsidRPr="0073664F" w:rsidRDefault="009B0114" w:rsidP="00B17386">
            <w:pPr>
              <w:pStyle w:val="Style20"/>
              <w:kinsoku w:val="0"/>
              <w:autoSpaceDE/>
              <w:autoSpaceDN/>
              <w:ind w:left="0"/>
              <w:rPr>
                <w:rStyle w:val="CharacterStyle1"/>
                <w:rFonts w:ascii="Calibri" w:hAnsi="Calibri" w:cs="Calibri"/>
                <w:spacing w:val="5"/>
                <w:sz w:val="14"/>
                <w:szCs w:val="14"/>
              </w:rPr>
            </w:pPr>
            <w:r w:rsidRPr="0073664F">
              <w:rPr>
                <w:rStyle w:val="CharacterStyle1"/>
                <w:rFonts w:ascii="Calibri" w:hAnsi="Calibri" w:cs="Calibri"/>
                <w:spacing w:val="5"/>
                <w:sz w:val="14"/>
                <w:szCs w:val="14"/>
              </w:rPr>
              <w:t>Sociétés cotée sur Alternext : non</w:t>
            </w:r>
          </w:p>
          <w:p w:rsidR="009B0114" w:rsidRPr="0073664F" w:rsidRDefault="009B0114" w:rsidP="00B17386">
            <w:pPr>
              <w:pStyle w:val="Style10"/>
              <w:kinsoku w:val="0"/>
              <w:autoSpaceDE/>
              <w:autoSpaceDN/>
              <w:adjustRightInd/>
              <w:rPr>
                <w:rStyle w:val="CharacterStyle2"/>
                <w:rFonts w:ascii="Calibri" w:eastAsiaTheme="majorEastAsia" w:hAnsi="Calibri" w:cs="Calibri"/>
                <w:spacing w:val="6"/>
                <w:sz w:val="14"/>
                <w:szCs w:val="14"/>
              </w:rPr>
            </w:pPr>
            <w:r w:rsidRPr="0073664F">
              <w:rPr>
                <w:rStyle w:val="CharacterStyle2"/>
                <w:rFonts w:ascii="Calibri" w:eastAsiaTheme="majorEastAsia" w:hAnsi="Calibri" w:cs="Calibri"/>
                <w:spacing w:val="1"/>
                <w:sz w:val="14"/>
                <w:szCs w:val="14"/>
              </w:rPr>
              <w:t xml:space="preserve">- tout franchissement de l'un des 10 </w:t>
            </w:r>
            <w:r w:rsidRPr="0073664F">
              <w:rPr>
                <w:rStyle w:val="CharacterStyle2"/>
                <w:rFonts w:ascii="Calibri" w:eastAsiaTheme="majorEastAsia" w:hAnsi="Calibri" w:cs="Calibri"/>
                <w:spacing w:val="5"/>
                <w:sz w:val="14"/>
                <w:szCs w:val="14"/>
              </w:rPr>
              <w:t>seuils</w:t>
            </w:r>
            <w:r>
              <w:rPr>
                <w:rStyle w:val="CharacterStyle2"/>
                <w:rFonts w:eastAsiaTheme="majorEastAsia" w:cs="Calibri"/>
                <w:spacing w:val="5"/>
                <w:sz w:val="14"/>
                <w:szCs w:val="14"/>
              </w:rPr>
              <w:t xml:space="preserve"> </w:t>
            </w:r>
            <w:r w:rsidRPr="0073664F">
              <w:rPr>
                <w:rStyle w:val="CharacterStyle2"/>
                <w:rFonts w:ascii="Calibri" w:eastAsiaTheme="majorEastAsia" w:hAnsi="Calibri" w:cs="Calibri"/>
                <w:spacing w:val="5"/>
                <w:sz w:val="14"/>
                <w:szCs w:val="14"/>
              </w:rPr>
              <w:t xml:space="preserve">mentionnés est déclaré à la société (L.233-7 I du code de </w:t>
            </w:r>
            <w:r w:rsidRPr="0073664F">
              <w:rPr>
                <w:rStyle w:val="CharacterStyle2"/>
                <w:rFonts w:ascii="Calibri" w:eastAsiaTheme="majorEastAsia" w:hAnsi="Calibri" w:cs="Calibri"/>
                <w:spacing w:val="6"/>
                <w:sz w:val="14"/>
                <w:szCs w:val="14"/>
              </w:rPr>
              <w:t>commerce);</w:t>
            </w:r>
          </w:p>
          <w:p w:rsidR="009B0114" w:rsidRPr="0073664F" w:rsidRDefault="009B0114" w:rsidP="00B17386">
            <w:pPr>
              <w:pStyle w:val="Style10"/>
              <w:kinsoku w:val="0"/>
              <w:autoSpaceDE/>
              <w:autoSpaceDN/>
              <w:adjustRightInd/>
              <w:jc w:val="both"/>
              <w:rPr>
                <w:rStyle w:val="CharacterStyle2"/>
                <w:rFonts w:ascii="Calibri" w:eastAsiaTheme="majorEastAsia" w:hAnsi="Calibri" w:cs="Calibri"/>
                <w:spacing w:val="6"/>
                <w:sz w:val="14"/>
                <w:szCs w:val="14"/>
              </w:rPr>
            </w:pPr>
            <w:r w:rsidRPr="0073664F">
              <w:rPr>
                <w:rStyle w:val="CharacterStyle2"/>
                <w:rFonts w:ascii="Calibri" w:eastAsiaTheme="majorEastAsia" w:hAnsi="Calibri" w:cs="Calibri"/>
                <w:spacing w:val="3"/>
                <w:sz w:val="14"/>
                <w:szCs w:val="14"/>
              </w:rPr>
              <w:t xml:space="preserve">- seuls les franchissements des seuils de </w:t>
            </w:r>
            <w:r w:rsidRPr="0073664F">
              <w:rPr>
                <w:rStyle w:val="CharacterStyle2"/>
                <w:rFonts w:ascii="Calibri" w:eastAsiaTheme="majorEastAsia" w:hAnsi="Calibri" w:cs="Calibri"/>
                <w:spacing w:val="4"/>
                <w:sz w:val="14"/>
                <w:szCs w:val="14"/>
              </w:rPr>
              <w:t xml:space="preserve">50% et 95% sont déclarés à l'AMF (L.233 </w:t>
            </w:r>
            <w:r w:rsidRPr="0073664F">
              <w:rPr>
                <w:rStyle w:val="CharacterStyle2"/>
                <w:rFonts w:ascii="Calibri" w:eastAsiaTheme="majorEastAsia" w:hAnsi="Calibri" w:cs="Calibri"/>
                <w:spacing w:val="6"/>
                <w:sz w:val="14"/>
                <w:szCs w:val="14"/>
              </w:rPr>
              <w:t>7 II du code de commerce et 223-15-1 du RGAMF).</w:t>
            </w:r>
          </w:p>
        </w:tc>
        <w:tc>
          <w:tcPr>
            <w:tcW w:w="1291" w:type="dxa"/>
            <w:vAlign w:val="center"/>
          </w:tcPr>
          <w:p w:rsidR="009B0114" w:rsidRPr="0073664F" w:rsidRDefault="009B0114" w:rsidP="00B17386">
            <w:pPr>
              <w:pStyle w:val="Style20"/>
              <w:kinsoku w:val="0"/>
              <w:autoSpaceDE/>
              <w:autoSpaceDN/>
              <w:ind w:left="0"/>
              <w:rPr>
                <w:rStyle w:val="CharacterStyle1"/>
                <w:rFonts w:ascii="Calibri" w:hAnsi="Calibri" w:cs="Calibri"/>
                <w:spacing w:val="6"/>
                <w:sz w:val="14"/>
                <w:szCs w:val="14"/>
              </w:rPr>
            </w:pPr>
            <w:r w:rsidRPr="0073664F">
              <w:rPr>
                <w:rStyle w:val="CharacterStyle1"/>
                <w:rFonts w:ascii="Calibri" w:hAnsi="Calibri" w:cs="Calibri"/>
                <w:spacing w:val="8"/>
                <w:sz w:val="14"/>
                <w:szCs w:val="14"/>
              </w:rPr>
              <w:t xml:space="preserve">Société transférée </w:t>
            </w:r>
            <w:r w:rsidRPr="0073664F">
              <w:rPr>
                <w:rStyle w:val="CharacterStyle1"/>
                <w:rFonts w:ascii="Calibri" w:hAnsi="Calibri" w:cs="Calibri"/>
                <w:spacing w:val="4"/>
                <w:sz w:val="14"/>
                <w:szCs w:val="14"/>
              </w:rPr>
              <w:t xml:space="preserve">sur Alternext : oui </w:t>
            </w:r>
            <w:r w:rsidRPr="0073664F">
              <w:rPr>
                <w:rStyle w:val="CharacterStyle1"/>
                <w:rFonts w:ascii="Calibri" w:hAnsi="Calibri" w:cs="Calibri"/>
                <w:spacing w:val="3"/>
                <w:sz w:val="14"/>
                <w:szCs w:val="14"/>
              </w:rPr>
              <w:t xml:space="preserve">pendant trois ans à </w:t>
            </w:r>
            <w:r w:rsidRPr="0073664F">
              <w:rPr>
                <w:rStyle w:val="CharacterStyle1"/>
                <w:rFonts w:ascii="Calibri" w:hAnsi="Calibri" w:cs="Calibri"/>
                <w:spacing w:val="7"/>
                <w:sz w:val="14"/>
                <w:szCs w:val="14"/>
              </w:rPr>
              <w:t xml:space="preserve">compter de la date </w:t>
            </w:r>
            <w:r w:rsidRPr="0073664F">
              <w:rPr>
                <w:rStyle w:val="CharacterStyle1"/>
                <w:rFonts w:ascii="Calibri" w:hAnsi="Calibri" w:cs="Calibri"/>
                <w:spacing w:val="20"/>
                <w:sz w:val="14"/>
                <w:szCs w:val="14"/>
              </w:rPr>
              <w:t xml:space="preserve">de transfert (à </w:t>
            </w:r>
            <w:r w:rsidRPr="0073664F">
              <w:rPr>
                <w:rStyle w:val="CharacterStyle1"/>
                <w:rFonts w:ascii="Calibri" w:hAnsi="Calibri" w:cs="Calibri"/>
                <w:spacing w:val="10"/>
                <w:sz w:val="14"/>
                <w:szCs w:val="14"/>
              </w:rPr>
              <w:t xml:space="preserve">l'émetteur et à </w:t>
            </w:r>
            <w:r w:rsidRPr="0073664F">
              <w:rPr>
                <w:rStyle w:val="CharacterStyle1"/>
                <w:rFonts w:ascii="Calibri" w:hAnsi="Calibri" w:cs="Calibri"/>
                <w:spacing w:val="2"/>
                <w:sz w:val="14"/>
                <w:szCs w:val="14"/>
              </w:rPr>
              <w:t xml:space="preserve">l'AMF) L.233-7-1 du </w:t>
            </w:r>
            <w:r w:rsidRPr="0073664F">
              <w:rPr>
                <w:rStyle w:val="CharacterStyle1"/>
                <w:rFonts w:ascii="Calibri" w:hAnsi="Calibri" w:cs="Calibri"/>
                <w:spacing w:val="6"/>
                <w:sz w:val="14"/>
                <w:szCs w:val="14"/>
              </w:rPr>
              <w:t>code de commerce</w:t>
            </w:r>
          </w:p>
          <w:p w:rsidR="009B0114" w:rsidRPr="0073664F" w:rsidRDefault="009B0114" w:rsidP="00B17386">
            <w:pPr>
              <w:pStyle w:val="Style10"/>
              <w:kinsoku w:val="0"/>
              <w:autoSpaceDE/>
              <w:autoSpaceDN/>
              <w:adjustRightInd/>
              <w:jc w:val="center"/>
              <w:rPr>
                <w:rStyle w:val="CharacterStyle2"/>
                <w:rFonts w:ascii="Calibri" w:eastAsiaTheme="majorEastAsia" w:hAnsi="Calibri" w:cs="Calibri"/>
                <w:spacing w:val="6"/>
                <w:sz w:val="14"/>
                <w:szCs w:val="14"/>
              </w:rPr>
            </w:pPr>
            <w:r w:rsidRPr="0073664F">
              <w:rPr>
                <w:rStyle w:val="CharacterStyle2"/>
                <w:rFonts w:ascii="Calibri" w:eastAsiaTheme="majorEastAsia" w:hAnsi="Calibri" w:cs="Calibri"/>
                <w:spacing w:val="6"/>
                <w:sz w:val="14"/>
                <w:szCs w:val="14"/>
              </w:rPr>
              <w:t>223-15-2 du RGAMF</w:t>
            </w:r>
          </w:p>
        </w:tc>
      </w:tr>
      <w:tr w:rsidR="009B0114" w:rsidRPr="0073664F" w:rsidTr="00B17386">
        <w:trPr>
          <w:cantSplit/>
          <w:trHeight w:hRule="exact" w:val="502"/>
        </w:trPr>
        <w:tc>
          <w:tcPr>
            <w:tcW w:w="993" w:type="dxa"/>
            <w:vMerge/>
            <w:vAlign w:val="center"/>
          </w:tcPr>
          <w:p w:rsidR="009B0114" w:rsidRPr="0073664F" w:rsidRDefault="009B0114" w:rsidP="00B17386">
            <w:pPr>
              <w:rPr>
                <w:rStyle w:val="CharacterStyle2"/>
                <w:rFonts w:cs="Calibri"/>
                <w:spacing w:val="6"/>
                <w:sz w:val="14"/>
                <w:szCs w:val="14"/>
              </w:rPr>
            </w:pPr>
          </w:p>
        </w:tc>
        <w:tc>
          <w:tcPr>
            <w:tcW w:w="1842" w:type="dxa"/>
            <w:vAlign w:val="center"/>
          </w:tcPr>
          <w:p w:rsidR="009B0114" w:rsidRPr="0073664F" w:rsidRDefault="009B0114" w:rsidP="00B17386">
            <w:pPr>
              <w:pStyle w:val="Style20"/>
              <w:kinsoku w:val="0"/>
              <w:autoSpaceDE/>
              <w:autoSpaceDN/>
              <w:ind w:left="0"/>
              <w:rPr>
                <w:rStyle w:val="CharacterStyle1"/>
                <w:rFonts w:ascii="Calibri" w:hAnsi="Calibri" w:cs="Calibri"/>
                <w:spacing w:val="6"/>
                <w:sz w:val="14"/>
                <w:szCs w:val="14"/>
              </w:rPr>
            </w:pPr>
            <w:r w:rsidRPr="0073664F">
              <w:rPr>
                <w:rStyle w:val="CharacterStyle1"/>
                <w:rFonts w:ascii="Calibri" w:hAnsi="Calibri" w:cs="Calibri"/>
                <w:spacing w:val="1"/>
                <w:sz w:val="14"/>
                <w:szCs w:val="14"/>
              </w:rPr>
              <w:t xml:space="preserve">Déclaration des pactes </w:t>
            </w:r>
            <w:r w:rsidRPr="0073664F">
              <w:rPr>
                <w:rStyle w:val="CharacterStyle1"/>
                <w:rFonts w:ascii="Calibri" w:hAnsi="Calibri" w:cs="Calibri"/>
                <w:spacing w:val="6"/>
                <w:sz w:val="14"/>
                <w:szCs w:val="14"/>
              </w:rPr>
              <w:t>d'actionnaires</w:t>
            </w:r>
          </w:p>
        </w:tc>
        <w:tc>
          <w:tcPr>
            <w:tcW w:w="3112" w:type="dxa"/>
          </w:tcPr>
          <w:p w:rsidR="009B0114" w:rsidRPr="0073664F" w:rsidRDefault="009B0114" w:rsidP="00B17386">
            <w:pPr>
              <w:pStyle w:val="Style10"/>
              <w:kinsoku w:val="0"/>
              <w:autoSpaceDE/>
              <w:autoSpaceDN/>
              <w:adjustRightInd/>
              <w:rPr>
                <w:rStyle w:val="CharacterStyle2"/>
                <w:rFonts w:ascii="Calibri" w:eastAsiaTheme="majorEastAsia" w:hAnsi="Calibri" w:cs="Calibri"/>
                <w:sz w:val="14"/>
                <w:szCs w:val="14"/>
              </w:rPr>
            </w:pPr>
            <w:r w:rsidRPr="0073664F">
              <w:rPr>
                <w:rStyle w:val="CharacterStyle2"/>
                <w:rFonts w:ascii="Calibri" w:eastAsiaTheme="majorEastAsia" w:hAnsi="Calibri" w:cs="Calibri"/>
                <w:sz w:val="14"/>
                <w:szCs w:val="14"/>
              </w:rPr>
              <w:t>Oui</w:t>
            </w:r>
          </w:p>
          <w:p w:rsidR="009B0114" w:rsidRPr="0073664F" w:rsidRDefault="009B0114" w:rsidP="00B17386">
            <w:pPr>
              <w:pStyle w:val="Style10"/>
              <w:kinsoku w:val="0"/>
              <w:autoSpaceDE/>
              <w:autoSpaceDN/>
              <w:adjustRightInd/>
              <w:rPr>
                <w:rStyle w:val="CharacterStyle2"/>
                <w:rFonts w:ascii="Calibri" w:eastAsiaTheme="majorEastAsia" w:hAnsi="Calibri" w:cs="Calibri"/>
                <w:spacing w:val="6"/>
                <w:sz w:val="14"/>
                <w:szCs w:val="14"/>
              </w:rPr>
            </w:pPr>
            <w:r w:rsidRPr="0073664F">
              <w:rPr>
                <w:rStyle w:val="CharacterStyle2"/>
                <w:rFonts w:ascii="Calibri" w:eastAsiaTheme="majorEastAsia" w:hAnsi="Calibri" w:cs="Calibri"/>
                <w:spacing w:val="3"/>
                <w:sz w:val="14"/>
                <w:szCs w:val="14"/>
              </w:rPr>
              <w:t xml:space="preserve">L.233-11 du code de commerce </w:t>
            </w:r>
            <w:r w:rsidRPr="0073664F">
              <w:rPr>
                <w:rStyle w:val="CharacterStyle2"/>
                <w:rFonts w:ascii="Calibri" w:eastAsiaTheme="majorEastAsia" w:hAnsi="Calibri" w:cs="Calibri"/>
                <w:spacing w:val="6"/>
                <w:sz w:val="14"/>
                <w:szCs w:val="14"/>
              </w:rPr>
              <w:t>223-18 du RGAMF</w:t>
            </w:r>
          </w:p>
        </w:tc>
        <w:tc>
          <w:tcPr>
            <w:tcW w:w="3132" w:type="dxa"/>
            <w:gridSpan w:val="3"/>
            <w:vAlign w:val="center"/>
          </w:tcPr>
          <w:p w:rsidR="009B0114" w:rsidRPr="0073664F" w:rsidRDefault="009B0114" w:rsidP="00B17386">
            <w:pPr>
              <w:pStyle w:val="Style20"/>
              <w:kinsoku w:val="0"/>
              <w:autoSpaceDE/>
              <w:autoSpaceDN/>
              <w:ind w:left="0"/>
              <w:rPr>
                <w:rStyle w:val="CharacterStyle1"/>
                <w:rFonts w:ascii="Calibri" w:hAnsi="Calibri" w:cs="Calibri"/>
                <w:sz w:val="14"/>
                <w:szCs w:val="14"/>
              </w:rPr>
            </w:pPr>
            <w:r w:rsidRPr="0073664F">
              <w:rPr>
                <w:rStyle w:val="CharacterStyle1"/>
                <w:rFonts w:ascii="Calibri" w:hAnsi="Calibri" w:cs="Calibri"/>
                <w:sz w:val="14"/>
                <w:szCs w:val="14"/>
              </w:rPr>
              <w:t>Non</w:t>
            </w:r>
          </w:p>
        </w:tc>
      </w:tr>
      <w:tr w:rsidR="009B0114" w:rsidRPr="0073664F" w:rsidTr="00B17386">
        <w:trPr>
          <w:cantSplit/>
          <w:trHeight w:hRule="exact" w:val="1275"/>
        </w:trPr>
        <w:tc>
          <w:tcPr>
            <w:tcW w:w="993" w:type="dxa"/>
            <w:vMerge/>
            <w:vAlign w:val="center"/>
          </w:tcPr>
          <w:p w:rsidR="009B0114" w:rsidRPr="0073664F" w:rsidRDefault="009B0114" w:rsidP="00B17386">
            <w:pPr>
              <w:rPr>
                <w:rStyle w:val="CharacterStyle1"/>
                <w:rFonts w:cs="Calibri"/>
                <w:sz w:val="14"/>
                <w:szCs w:val="14"/>
              </w:rPr>
            </w:pPr>
          </w:p>
        </w:tc>
        <w:tc>
          <w:tcPr>
            <w:tcW w:w="1842" w:type="dxa"/>
            <w:vAlign w:val="center"/>
          </w:tcPr>
          <w:p w:rsidR="009B0114" w:rsidRPr="0073664F" w:rsidRDefault="009B0114" w:rsidP="00B17386">
            <w:pPr>
              <w:pStyle w:val="Style20"/>
              <w:kinsoku w:val="0"/>
              <w:autoSpaceDE/>
              <w:autoSpaceDN/>
              <w:ind w:left="0"/>
              <w:rPr>
                <w:rStyle w:val="CharacterStyle1"/>
                <w:rFonts w:ascii="Calibri" w:hAnsi="Calibri" w:cs="Calibri"/>
                <w:spacing w:val="6"/>
                <w:sz w:val="14"/>
                <w:szCs w:val="14"/>
              </w:rPr>
            </w:pPr>
            <w:r w:rsidRPr="0073664F">
              <w:rPr>
                <w:rStyle w:val="CharacterStyle1"/>
                <w:rFonts w:ascii="Calibri" w:hAnsi="Calibri" w:cs="Calibri"/>
                <w:spacing w:val="6"/>
                <w:sz w:val="14"/>
                <w:szCs w:val="14"/>
              </w:rPr>
              <w:t>Déclaration d'intention</w:t>
            </w:r>
          </w:p>
        </w:tc>
        <w:tc>
          <w:tcPr>
            <w:tcW w:w="3112" w:type="dxa"/>
          </w:tcPr>
          <w:p w:rsidR="009B0114" w:rsidRPr="0073664F" w:rsidRDefault="009B0114" w:rsidP="00B17386">
            <w:pPr>
              <w:pStyle w:val="Style20"/>
              <w:kinsoku w:val="0"/>
              <w:autoSpaceDE/>
              <w:autoSpaceDN/>
              <w:ind w:left="0"/>
              <w:rPr>
                <w:rStyle w:val="CharacterStyle1"/>
                <w:rFonts w:ascii="Calibri" w:hAnsi="Calibri" w:cs="Calibri"/>
                <w:sz w:val="14"/>
                <w:szCs w:val="14"/>
              </w:rPr>
            </w:pPr>
            <w:r w:rsidRPr="0073664F">
              <w:rPr>
                <w:rStyle w:val="CharacterStyle1"/>
                <w:rFonts w:ascii="Calibri" w:hAnsi="Calibri" w:cs="Calibri"/>
                <w:sz w:val="14"/>
                <w:szCs w:val="14"/>
              </w:rPr>
              <w:t>Oui</w:t>
            </w:r>
          </w:p>
          <w:p w:rsidR="009B0114" w:rsidRPr="0073664F" w:rsidRDefault="009B0114" w:rsidP="00B17386">
            <w:pPr>
              <w:pStyle w:val="Style10"/>
              <w:kinsoku w:val="0"/>
              <w:autoSpaceDE/>
              <w:autoSpaceDN/>
              <w:adjustRightInd/>
              <w:rPr>
                <w:rStyle w:val="CharacterStyle2"/>
                <w:rFonts w:ascii="Calibri" w:eastAsiaTheme="majorEastAsia" w:hAnsi="Calibri" w:cs="Calibri"/>
                <w:spacing w:val="6"/>
                <w:sz w:val="14"/>
                <w:szCs w:val="14"/>
              </w:rPr>
            </w:pPr>
            <w:r w:rsidRPr="0073664F">
              <w:rPr>
                <w:rStyle w:val="CharacterStyle2"/>
                <w:rFonts w:ascii="Calibri" w:eastAsiaTheme="majorEastAsia" w:hAnsi="Calibri" w:cs="Calibri"/>
                <w:spacing w:val="2"/>
                <w:sz w:val="14"/>
                <w:szCs w:val="14"/>
              </w:rPr>
              <w:t xml:space="preserve">L.233-7 VII du code de commerce </w:t>
            </w:r>
            <w:r w:rsidRPr="0073664F">
              <w:rPr>
                <w:rStyle w:val="CharacterStyle2"/>
                <w:rFonts w:ascii="Calibri" w:eastAsiaTheme="majorEastAsia" w:hAnsi="Calibri" w:cs="Calibri"/>
                <w:spacing w:val="6"/>
                <w:sz w:val="14"/>
                <w:szCs w:val="14"/>
              </w:rPr>
              <w:t>223-17 du RGAMF</w:t>
            </w:r>
          </w:p>
        </w:tc>
        <w:tc>
          <w:tcPr>
            <w:tcW w:w="990" w:type="dxa"/>
          </w:tcPr>
          <w:p w:rsidR="009B0114" w:rsidRPr="0073664F" w:rsidRDefault="009B0114" w:rsidP="00B17386">
            <w:pPr>
              <w:pStyle w:val="Style10"/>
              <w:kinsoku w:val="0"/>
              <w:autoSpaceDE/>
              <w:autoSpaceDN/>
              <w:adjustRightInd/>
              <w:jc w:val="center"/>
              <w:rPr>
                <w:rStyle w:val="CharacterStyle2"/>
                <w:rFonts w:ascii="Calibri" w:eastAsiaTheme="majorEastAsia" w:hAnsi="Calibri" w:cs="Calibri"/>
                <w:spacing w:val="6"/>
                <w:sz w:val="14"/>
                <w:szCs w:val="14"/>
              </w:rPr>
            </w:pPr>
            <w:r w:rsidRPr="0073664F">
              <w:rPr>
                <w:rStyle w:val="CharacterStyle2"/>
                <w:rFonts w:ascii="Calibri" w:eastAsiaTheme="majorEastAsia" w:hAnsi="Calibri" w:cs="Calibri"/>
                <w:spacing w:val="6"/>
                <w:sz w:val="14"/>
                <w:szCs w:val="14"/>
              </w:rPr>
              <w:t>Société cotée</w:t>
            </w:r>
            <w:r>
              <w:rPr>
                <w:rStyle w:val="CharacterStyle2"/>
                <w:rFonts w:eastAsiaTheme="majorEastAsia" w:cs="Calibri"/>
                <w:spacing w:val="6"/>
                <w:sz w:val="14"/>
                <w:szCs w:val="14"/>
              </w:rPr>
              <w:t xml:space="preserve"> </w:t>
            </w:r>
            <w:r w:rsidRPr="0073664F">
              <w:rPr>
                <w:rStyle w:val="CharacterStyle2"/>
                <w:rFonts w:ascii="Calibri" w:eastAsiaTheme="majorEastAsia" w:hAnsi="Calibri" w:cs="Calibri"/>
                <w:spacing w:val="6"/>
                <w:sz w:val="14"/>
                <w:szCs w:val="14"/>
              </w:rPr>
              <w:t>sur Alternext</w:t>
            </w:r>
          </w:p>
          <w:p w:rsidR="009B0114" w:rsidRPr="0073664F" w:rsidRDefault="009B0114" w:rsidP="00B17386">
            <w:pPr>
              <w:pStyle w:val="Style10"/>
              <w:kinsoku w:val="0"/>
              <w:autoSpaceDE/>
              <w:autoSpaceDN/>
              <w:adjustRightInd/>
              <w:rPr>
                <w:rStyle w:val="CharacterStyle2"/>
                <w:rFonts w:ascii="Calibri" w:eastAsiaTheme="majorEastAsia" w:hAnsi="Calibri" w:cs="Calibri"/>
                <w:sz w:val="14"/>
                <w:szCs w:val="14"/>
              </w:rPr>
            </w:pPr>
            <w:r w:rsidRPr="0073664F">
              <w:rPr>
                <w:rStyle w:val="CharacterStyle2"/>
                <w:rFonts w:ascii="Calibri" w:eastAsiaTheme="majorEastAsia" w:hAnsi="Calibri" w:cs="Calibri"/>
                <w:sz w:val="14"/>
                <w:szCs w:val="14"/>
              </w:rPr>
              <w:t>Non</w:t>
            </w:r>
          </w:p>
          <w:p w:rsidR="009B0114" w:rsidRPr="0073664F" w:rsidRDefault="009B0114" w:rsidP="00B17386">
            <w:pPr>
              <w:pStyle w:val="Style10"/>
              <w:kinsoku w:val="0"/>
              <w:autoSpaceDE/>
              <w:autoSpaceDN/>
              <w:adjustRightInd/>
              <w:rPr>
                <w:rStyle w:val="CharacterStyle2"/>
                <w:rFonts w:ascii="Calibri" w:eastAsiaTheme="majorEastAsia" w:hAnsi="Calibri" w:cs="Calibri"/>
                <w:sz w:val="14"/>
                <w:szCs w:val="14"/>
              </w:rPr>
            </w:pPr>
            <w:r w:rsidRPr="0073664F">
              <w:rPr>
                <w:rStyle w:val="CharacterStyle2"/>
                <w:rFonts w:ascii="Calibri" w:eastAsiaTheme="majorEastAsia" w:hAnsi="Calibri" w:cs="Calibri"/>
                <w:spacing w:val="2"/>
                <w:sz w:val="14"/>
                <w:szCs w:val="14"/>
              </w:rPr>
              <w:t xml:space="preserve">L.233-7 VII du </w:t>
            </w:r>
            <w:r w:rsidRPr="0073664F">
              <w:rPr>
                <w:rStyle w:val="CharacterStyle2"/>
                <w:rFonts w:ascii="Calibri" w:eastAsiaTheme="majorEastAsia" w:hAnsi="Calibri" w:cs="Calibri"/>
                <w:spacing w:val="6"/>
                <w:sz w:val="14"/>
                <w:szCs w:val="14"/>
              </w:rPr>
              <w:t xml:space="preserve">code de </w:t>
            </w:r>
            <w:r w:rsidRPr="0073664F">
              <w:rPr>
                <w:rStyle w:val="CharacterStyle2"/>
                <w:rFonts w:ascii="Calibri" w:eastAsiaTheme="majorEastAsia" w:hAnsi="Calibri" w:cs="Calibri"/>
                <w:spacing w:val="5"/>
                <w:sz w:val="14"/>
                <w:szCs w:val="14"/>
              </w:rPr>
              <w:t xml:space="preserve">commerce 22E </w:t>
            </w:r>
            <w:r w:rsidRPr="0073664F">
              <w:rPr>
                <w:rStyle w:val="CharacterStyle2"/>
                <w:rFonts w:ascii="Calibri" w:eastAsiaTheme="majorEastAsia" w:hAnsi="Calibri" w:cs="Calibri"/>
                <w:spacing w:val="8"/>
                <w:sz w:val="14"/>
                <w:szCs w:val="14"/>
              </w:rPr>
              <w:t xml:space="preserve">15-2 du </w:t>
            </w:r>
            <w:r w:rsidRPr="0073664F">
              <w:rPr>
                <w:rStyle w:val="CharacterStyle2"/>
                <w:rFonts w:ascii="Calibri" w:eastAsiaTheme="majorEastAsia" w:hAnsi="Calibri" w:cs="Calibri"/>
                <w:sz w:val="14"/>
                <w:szCs w:val="14"/>
              </w:rPr>
              <w:t>RGAMF</w:t>
            </w:r>
          </w:p>
        </w:tc>
        <w:tc>
          <w:tcPr>
            <w:tcW w:w="2142" w:type="dxa"/>
            <w:gridSpan w:val="2"/>
            <w:vAlign w:val="center"/>
          </w:tcPr>
          <w:p w:rsidR="009B0114" w:rsidRPr="0073664F" w:rsidRDefault="009B0114" w:rsidP="00B17386">
            <w:pPr>
              <w:pStyle w:val="Style20"/>
              <w:kinsoku w:val="0"/>
              <w:autoSpaceDE/>
              <w:autoSpaceDN/>
              <w:ind w:left="0"/>
              <w:rPr>
                <w:rStyle w:val="CharacterStyle1"/>
                <w:rFonts w:ascii="Calibri" w:hAnsi="Calibri" w:cs="Calibri"/>
                <w:spacing w:val="5"/>
                <w:sz w:val="14"/>
                <w:szCs w:val="14"/>
              </w:rPr>
            </w:pPr>
            <w:r w:rsidRPr="0073664F">
              <w:rPr>
                <w:rStyle w:val="CharacterStyle1"/>
                <w:rFonts w:ascii="Calibri" w:hAnsi="Calibri" w:cs="Calibri"/>
                <w:spacing w:val="4"/>
                <w:sz w:val="14"/>
                <w:szCs w:val="14"/>
              </w:rPr>
              <w:t xml:space="preserve">Société transférée sur Alternext : oui pendant </w:t>
            </w:r>
            <w:r w:rsidRPr="0073664F">
              <w:rPr>
                <w:rStyle w:val="CharacterStyle1"/>
                <w:rFonts w:ascii="Calibri" w:hAnsi="Calibri" w:cs="Calibri"/>
                <w:spacing w:val="5"/>
                <w:sz w:val="14"/>
                <w:szCs w:val="14"/>
              </w:rPr>
              <w:t>trois ans à compter de la date de transfert</w:t>
            </w:r>
          </w:p>
        </w:tc>
      </w:tr>
      <w:tr w:rsidR="009B0114" w:rsidRPr="0073664F" w:rsidTr="00B17386">
        <w:trPr>
          <w:cantSplit/>
          <w:trHeight w:hRule="exact" w:val="571"/>
        </w:trPr>
        <w:tc>
          <w:tcPr>
            <w:tcW w:w="993" w:type="dxa"/>
            <w:vMerge/>
            <w:vAlign w:val="center"/>
          </w:tcPr>
          <w:p w:rsidR="009B0114" w:rsidRPr="0073664F" w:rsidRDefault="009B0114" w:rsidP="00B17386">
            <w:pPr>
              <w:rPr>
                <w:rStyle w:val="CharacterStyle1"/>
                <w:rFonts w:cs="Calibri"/>
                <w:spacing w:val="4"/>
                <w:sz w:val="14"/>
                <w:szCs w:val="14"/>
              </w:rPr>
            </w:pPr>
          </w:p>
        </w:tc>
        <w:tc>
          <w:tcPr>
            <w:tcW w:w="1842" w:type="dxa"/>
            <w:vAlign w:val="center"/>
          </w:tcPr>
          <w:p w:rsidR="009B0114" w:rsidRPr="0073664F" w:rsidRDefault="009B0114" w:rsidP="00B17386">
            <w:pPr>
              <w:pStyle w:val="Style20"/>
              <w:kinsoku w:val="0"/>
              <w:autoSpaceDE/>
              <w:autoSpaceDN/>
              <w:ind w:left="0"/>
              <w:rPr>
                <w:rStyle w:val="CharacterStyle1"/>
                <w:rFonts w:ascii="Calibri" w:hAnsi="Calibri" w:cs="Calibri"/>
                <w:spacing w:val="5"/>
                <w:sz w:val="14"/>
                <w:szCs w:val="14"/>
              </w:rPr>
            </w:pPr>
            <w:r w:rsidRPr="0073664F">
              <w:rPr>
                <w:rStyle w:val="CharacterStyle1"/>
                <w:rFonts w:ascii="Calibri" w:hAnsi="Calibri" w:cs="Calibri"/>
                <w:spacing w:val="5"/>
                <w:sz w:val="14"/>
                <w:szCs w:val="14"/>
              </w:rPr>
              <w:t>Déclarations des dirigeants</w:t>
            </w:r>
          </w:p>
        </w:tc>
        <w:tc>
          <w:tcPr>
            <w:tcW w:w="3112" w:type="dxa"/>
          </w:tcPr>
          <w:p w:rsidR="009B0114" w:rsidRPr="0073664F" w:rsidRDefault="009B0114" w:rsidP="00B17386">
            <w:pPr>
              <w:pStyle w:val="Style10"/>
              <w:kinsoku w:val="0"/>
              <w:autoSpaceDE/>
              <w:autoSpaceDN/>
              <w:adjustRightInd/>
              <w:rPr>
                <w:rStyle w:val="CharacterStyle2"/>
                <w:rFonts w:ascii="Calibri" w:eastAsiaTheme="majorEastAsia" w:hAnsi="Calibri" w:cs="Calibri"/>
                <w:sz w:val="14"/>
                <w:szCs w:val="14"/>
              </w:rPr>
            </w:pPr>
            <w:r w:rsidRPr="0073664F">
              <w:rPr>
                <w:rStyle w:val="CharacterStyle2"/>
                <w:rFonts w:ascii="Calibri" w:eastAsiaTheme="majorEastAsia" w:hAnsi="Calibri" w:cs="Calibri"/>
                <w:sz w:val="14"/>
                <w:szCs w:val="14"/>
              </w:rPr>
              <w:t>Oui</w:t>
            </w:r>
          </w:p>
          <w:p w:rsidR="009B0114" w:rsidRPr="0073664F" w:rsidRDefault="009B0114" w:rsidP="00B17386">
            <w:pPr>
              <w:pStyle w:val="Style10"/>
              <w:kinsoku w:val="0"/>
              <w:autoSpaceDE/>
              <w:autoSpaceDN/>
              <w:adjustRightInd/>
              <w:rPr>
                <w:rStyle w:val="CharacterStyle2"/>
                <w:rFonts w:ascii="Calibri" w:eastAsiaTheme="majorEastAsia" w:hAnsi="Calibri" w:cs="Calibri"/>
                <w:spacing w:val="5"/>
                <w:sz w:val="14"/>
                <w:szCs w:val="14"/>
              </w:rPr>
            </w:pPr>
            <w:r w:rsidRPr="0073664F">
              <w:rPr>
                <w:rStyle w:val="CharacterStyle2"/>
                <w:rFonts w:ascii="Calibri" w:eastAsiaTheme="majorEastAsia" w:hAnsi="Calibri" w:cs="Calibri"/>
                <w:spacing w:val="3"/>
                <w:sz w:val="14"/>
                <w:szCs w:val="14"/>
              </w:rPr>
              <w:t xml:space="preserve">L.621-18-2 du code monétaire et financier </w:t>
            </w:r>
            <w:r w:rsidRPr="0073664F">
              <w:rPr>
                <w:rStyle w:val="CharacterStyle2"/>
                <w:rFonts w:ascii="Calibri" w:eastAsiaTheme="majorEastAsia" w:hAnsi="Calibri" w:cs="Calibri"/>
                <w:spacing w:val="5"/>
                <w:sz w:val="14"/>
                <w:szCs w:val="14"/>
              </w:rPr>
              <w:t xml:space="preserve">223-22 A et </w:t>
            </w:r>
            <w:proofErr w:type="spellStart"/>
            <w:r w:rsidRPr="0073664F">
              <w:rPr>
                <w:rStyle w:val="CharacterStyle2"/>
                <w:rFonts w:ascii="Calibri" w:eastAsiaTheme="majorEastAsia" w:hAnsi="Calibri" w:cs="Calibri"/>
                <w:spacing w:val="5"/>
                <w:sz w:val="14"/>
                <w:szCs w:val="14"/>
              </w:rPr>
              <w:t>suiv</w:t>
            </w:r>
            <w:proofErr w:type="spellEnd"/>
            <w:r w:rsidRPr="0073664F">
              <w:rPr>
                <w:rStyle w:val="CharacterStyle2"/>
                <w:rFonts w:ascii="Calibri" w:eastAsiaTheme="majorEastAsia" w:hAnsi="Calibri" w:cs="Calibri"/>
                <w:spacing w:val="5"/>
                <w:sz w:val="14"/>
                <w:szCs w:val="14"/>
              </w:rPr>
              <w:t>. du RGAMF</w:t>
            </w:r>
          </w:p>
        </w:tc>
        <w:tc>
          <w:tcPr>
            <w:tcW w:w="3132" w:type="dxa"/>
            <w:gridSpan w:val="3"/>
          </w:tcPr>
          <w:p w:rsidR="009B0114" w:rsidRPr="0073664F" w:rsidRDefault="009B0114" w:rsidP="00B17386">
            <w:pPr>
              <w:pStyle w:val="Style10"/>
              <w:kinsoku w:val="0"/>
              <w:autoSpaceDE/>
              <w:autoSpaceDN/>
              <w:adjustRightInd/>
              <w:rPr>
                <w:rStyle w:val="CharacterStyle2"/>
                <w:rFonts w:ascii="Calibri" w:eastAsiaTheme="majorEastAsia" w:hAnsi="Calibri" w:cs="Calibri"/>
                <w:sz w:val="14"/>
                <w:szCs w:val="14"/>
              </w:rPr>
            </w:pPr>
            <w:r w:rsidRPr="0073664F">
              <w:rPr>
                <w:rStyle w:val="CharacterStyle2"/>
                <w:rFonts w:ascii="Calibri" w:eastAsiaTheme="majorEastAsia" w:hAnsi="Calibri" w:cs="Calibri"/>
                <w:sz w:val="14"/>
                <w:szCs w:val="14"/>
              </w:rPr>
              <w:t>Oui</w:t>
            </w:r>
          </w:p>
          <w:p w:rsidR="009B0114" w:rsidRPr="0073664F" w:rsidRDefault="009B0114" w:rsidP="00B17386">
            <w:pPr>
              <w:pStyle w:val="Style10"/>
              <w:kinsoku w:val="0"/>
              <w:autoSpaceDE/>
              <w:autoSpaceDN/>
              <w:adjustRightInd/>
              <w:rPr>
                <w:rStyle w:val="CharacterStyle2"/>
                <w:rFonts w:ascii="Calibri" w:eastAsiaTheme="majorEastAsia" w:hAnsi="Calibri" w:cs="Calibri"/>
                <w:spacing w:val="5"/>
                <w:sz w:val="14"/>
                <w:szCs w:val="14"/>
              </w:rPr>
            </w:pPr>
            <w:r w:rsidRPr="0073664F">
              <w:rPr>
                <w:rStyle w:val="CharacterStyle2"/>
                <w:rFonts w:ascii="Calibri" w:eastAsiaTheme="majorEastAsia" w:hAnsi="Calibri" w:cs="Calibri"/>
                <w:spacing w:val="4"/>
                <w:sz w:val="14"/>
                <w:szCs w:val="14"/>
              </w:rPr>
              <w:t xml:space="preserve">L.621-18-2 du code monétaire et financier 2 </w:t>
            </w:r>
            <w:r w:rsidRPr="0073664F">
              <w:rPr>
                <w:rStyle w:val="CharacterStyle2"/>
                <w:rFonts w:ascii="Calibri" w:eastAsiaTheme="majorEastAsia" w:hAnsi="Calibri" w:cs="Calibri"/>
                <w:spacing w:val="5"/>
                <w:sz w:val="14"/>
                <w:szCs w:val="14"/>
              </w:rPr>
              <w:t xml:space="preserve">23-22 A et </w:t>
            </w:r>
            <w:proofErr w:type="spellStart"/>
            <w:r w:rsidRPr="0073664F">
              <w:rPr>
                <w:rStyle w:val="CharacterStyle2"/>
                <w:rFonts w:ascii="Calibri" w:eastAsiaTheme="majorEastAsia" w:hAnsi="Calibri" w:cs="Calibri"/>
                <w:spacing w:val="5"/>
                <w:sz w:val="14"/>
                <w:szCs w:val="14"/>
              </w:rPr>
              <w:t>suiv</w:t>
            </w:r>
            <w:proofErr w:type="spellEnd"/>
            <w:r w:rsidRPr="0073664F">
              <w:rPr>
                <w:rStyle w:val="CharacterStyle2"/>
                <w:rFonts w:ascii="Calibri" w:eastAsiaTheme="majorEastAsia" w:hAnsi="Calibri" w:cs="Calibri"/>
                <w:spacing w:val="5"/>
                <w:sz w:val="14"/>
                <w:szCs w:val="14"/>
              </w:rPr>
              <w:t>. du RGAMF</w:t>
            </w:r>
          </w:p>
        </w:tc>
      </w:tr>
      <w:tr w:rsidR="009B0114" w:rsidRPr="0073664F" w:rsidTr="00B17386">
        <w:trPr>
          <w:trHeight w:hRule="exact" w:val="580"/>
        </w:trPr>
        <w:tc>
          <w:tcPr>
            <w:tcW w:w="993" w:type="dxa"/>
          </w:tcPr>
          <w:p w:rsidR="009B0114" w:rsidRPr="0073664F" w:rsidRDefault="009B0114" w:rsidP="00B17386">
            <w:pPr>
              <w:pStyle w:val="Style10"/>
              <w:kinsoku w:val="0"/>
              <w:autoSpaceDE/>
              <w:autoSpaceDN/>
              <w:adjustRightInd/>
              <w:jc w:val="center"/>
              <w:rPr>
                <w:rStyle w:val="CharacterStyle2"/>
                <w:rFonts w:ascii="Calibri" w:eastAsiaTheme="majorEastAsia" w:hAnsi="Calibri" w:cs="Calibri"/>
                <w:sz w:val="14"/>
                <w:szCs w:val="14"/>
              </w:rPr>
            </w:pPr>
            <w:r w:rsidRPr="0073664F">
              <w:rPr>
                <w:rStyle w:val="CharacterStyle2"/>
                <w:rFonts w:ascii="Calibri" w:eastAsiaTheme="majorEastAsia" w:hAnsi="Calibri" w:cs="Calibri"/>
                <w:sz w:val="14"/>
                <w:szCs w:val="14"/>
              </w:rPr>
              <w:t>ABUS DE</w:t>
            </w:r>
            <w:r>
              <w:rPr>
                <w:rStyle w:val="CharacterStyle2"/>
                <w:rFonts w:ascii="Calibri" w:eastAsiaTheme="majorEastAsia" w:hAnsi="Calibri" w:cs="Calibri"/>
                <w:sz w:val="14"/>
                <w:szCs w:val="14"/>
              </w:rPr>
              <w:t xml:space="preserve"> </w:t>
            </w:r>
            <w:r w:rsidRPr="0073664F">
              <w:rPr>
                <w:rStyle w:val="CharacterStyle2"/>
                <w:rFonts w:ascii="Calibri" w:eastAsiaTheme="majorEastAsia" w:hAnsi="Calibri" w:cs="Calibri"/>
                <w:sz w:val="14"/>
                <w:szCs w:val="14"/>
              </w:rPr>
              <w:t>MARCHE</w:t>
            </w:r>
          </w:p>
        </w:tc>
        <w:tc>
          <w:tcPr>
            <w:tcW w:w="1842" w:type="dxa"/>
          </w:tcPr>
          <w:p w:rsidR="009B0114" w:rsidRPr="0073664F" w:rsidRDefault="009B0114" w:rsidP="00B17386">
            <w:pPr>
              <w:pStyle w:val="Style10"/>
              <w:kinsoku w:val="0"/>
              <w:autoSpaceDE/>
              <w:autoSpaceDN/>
              <w:adjustRightInd/>
              <w:rPr>
                <w:rStyle w:val="CharacterStyle2"/>
                <w:rFonts w:ascii="Calibri" w:eastAsiaTheme="majorEastAsia" w:hAnsi="Calibri" w:cs="Calibri"/>
                <w:spacing w:val="6"/>
                <w:sz w:val="14"/>
                <w:szCs w:val="14"/>
              </w:rPr>
            </w:pPr>
            <w:r w:rsidRPr="0073664F">
              <w:rPr>
                <w:rStyle w:val="CharacterStyle2"/>
                <w:rFonts w:ascii="Calibri" w:eastAsiaTheme="majorEastAsia" w:hAnsi="Calibri" w:cs="Calibri"/>
                <w:spacing w:val="2"/>
                <w:sz w:val="14"/>
                <w:szCs w:val="14"/>
              </w:rPr>
              <w:t xml:space="preserve">Programme de rachat </w:t>
            </w:r>
            <w:r w:rsidRPr="0073664F">
              <w:rPr>
                <w:rStyle w:val="CharacterStyle2"/>
                <w:rFonts w:ascii="Calibri" w:eastAsiaTheme="majorEastAsia" w:hAnsi="Calibri" w:cs="Calibri"/>
                <w:spacing w:val="6"/>
                <w:sz w:val="14"/>
                <w:szCs w:val="14"/>
              </w:rPr>
              <w:t>d'actions</w:t>
            </w:r>
          </w:p>
        </w:tc>
        <w:tc>
          <w:tcPr>
            <w:tcW w:w="3112" w:type="dxa"/>
          </w:tcPr>
          <w:p w:rsidR="009B0114" w:rsidRPr="0073664F" w:rsidRDefault="009B0114" w:rsidP="00B17386">
            <w:pPr>
              <w:pStyle w:val="Style20"/>
              <w:kinsoku w:val="0"/>
              <w:autoSpaceDE/>
              <w:autoSpaceDN/>
              <w:ind w:left="0"/>
              <w:rPr>
                <w:rStyle w:val="CharacterStyle1"/>
                <w:rFonts w:ascii="Calibri" w:hAnsi="Calibri" w:cs="Calibri"/>
                <w:sz w:val="14"/>
                <w:szCs w:val="14"/>
              </w:rPr>
            </w:pPr>
            <w:r w:rsidRPr="0073664F">
              <w:rPr>
                <w:rStyle w:val="CharacterStyle1"/>
                <w:rFonts w:ascii="Calibri" w:hAnsi="Calibri" w:cs="Calibri"/>
                <w:sz w:val="14"/>
                <w:szCs w:val="14"/>
              </w:rPr>
              <w:t>Oui</w:t>
            </w:r>
          </w:p>
          <w:p w:rsidR="009B0114" w:rsidRPr="0073664F" w:rsidRDefault="009B0114" w:rsidP="00B17386">
            <w:pPr>
              <w:pStyle w:val="Style20"/>
              <w:kinsoku w:val="0"/>
              <w:autoSpaceDE/>
              <w:autoSpaceDN/>
              <w:ind w:left="0"/>
              <w:rPr>
                <w:rStyle w:val="CharacterStyle1"/>
                <w:rFonts w:ascii="Calibri" w:hAnsi="Calibri" w:cs="Calibri"/>
                <w:spacing w:val="5"/>
                <w:sz w:val="14"/>
                <w:szCs w:val="14"/>
              </w:rPr>
            </w:pPr>
            <w:r w:rsidRPr="0073664F">
              <w:rPr>
                <w:rStyle w:val="CharacterStyle1"/>
                <w:rFonts w:ascii="Calibri" w:hAnsi="Calibri" w:cs="Calibri"/>
                <w:spacing w:val="3"/>
                <w:sz w:val="14"/>
                <w:szCs w:val="14"/>
              </w:rPr>
              <w:t xml:space="preserve">L225-209 et L.225-217 du Code de commerce </w:t>
            </w:r>
            <w:r w:rsidRPr="0073664F">
              <w:rPr>
                <w:rStyle w:val="CharacterStyle1"/>
                <w:rFonts w:ascii="Calibri" w:hAnsi="Calibri" w:cs="Calibri"/>
                <w:spacing w:val="5"/>
                <w:sz w:val="14"/>
                <w:szCs w:val="14"/>
              </w:rPr>
              <w:t xml:space="preserve">241-1 et </w:t>
            </w:r>
            <w:proofErr w:type="spellStart"/>
            <w:r w:rsidRPr="0073664F">
              <w:rPr>
                <w:rStyle w:val="CharacterStyle1"/>
                <w:rFonts w:ascii="Calibri" w:hAnsi="Calibri" w:cs="Calibri"/>
                <w:spacing w:val="5"/>
                <w:sz w:val="14"/>
                <w:szCs w:val="14"/>
              </w:rPr>
              <w:t>suiv</w:t>
            </w:r>
            <w:proofErr w:type="spellEnd"/>
            <w:r w:rsidRPr="0073664F">
              <w:rPr>
                <w:rStyle w:val="CharacterStyle1"/>
                <w:rFonts w:ascii="Calibri" w:hAnsi="Calibri" w:cs="Calibri"/>
                <w:spacing w:val="5"/>
                <w:sz w:val="14"/>
                <w:szCs w:val="14"/>
              </w:rPr>
              <w:t>. du RGAMF</w:t>
            </w:r>
          </w:p>
        </w:tc>
        <w:tc>
          <w:tcPr>
            <w:tcW w:w="3132" w:type="dxa"/>
            <w:gridSpan w:val="3"/>
          </w:tcPr>
          <w:p w:rsidR="009B0114" w:rsidRPr="0073664F" w:rsidRDefault="009B0114" w:rsidP="00B17386">
            <w:pPr>
              <w:pStyle w:val="Style20"/>
              <w:kinsoku w:val="0"/>
              <w:autoSpaceDE/>
              <w:autoSpaceDN/>
              <w:ind w:left="0"/>
              <w:rPr>
                <w:rStyle w:val="CharacterStyle1"/>
                <w:rFonts w:ascii="Calibri" w:hAnsi="Calibri" w:cs="Calibri"/>
                <w:spacing w:val="6"/>
                <w:sz w:val="14"/>
                <w:szCs w:val="14"/>
              </w:rPr>
            </w:pPr>
            <w:r w:rsidRPr="0073664F">
              <w:rPr>
                <w:rStyle w:val="CharacterStyle1"/>
                <w:rFonts w:ascii="Calibri" w:hAnsi="Calibri" w:cs="Calibri"/>
                <w:spacing w:val="3"/>
                <w:sz w:val="14"/>
                <w:szCs w:val="14"/>
              </w:rPr>
              <w:t xml:space="preserve">Oui uniquement dans le cadre d'un contrat de liquidités. </w:t>
            </w:r>
            <w:r w:rsidRPr="0073664F">
              <w:rPr>
                <w:rStyle w:val="CharacterStyle1"/>
                <w:rFonts w:ascii="Calibri" w:hAnsi="Calibri" w:cs="Calibri"/>
                <w:spacing w:val="6"/>
                <w:sz w:val="14"/>
                <w:szCs w:val="14"/>
              </w:rPr>
              <w:t>L225-209-1 du Code de commerce</w:t>
            </w:r>
          </w:p>
        </w:tc>
      </w:tr>
    </w:tbl>
    <w:p w:rsidR="009B0114"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Par ailleurs l'AMF rappelle qu'une société cotée sur Euronext au 31 décembre de l'année N et qui se transfère en N+1 n'a pas à publier ni à déposer son rapport financier annuel si le transfert a lieu avant la date limite de publication (30 avril N+1, par exemple, pour une société clôturant son exercice au 31 décembre.</w:t>
      </w: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lastRenderedPageBreak/>
        <w:t xml:space="preserve">Il en est de même pour les autres publications périodiques : rapport financier semestriel et informations financières trimestrielles. </w:t>
      </w:r>
    </w:p>
    <w:p w:rsidR="009B0114" w:rsidRPr="00182A00" w:rsidRDefault="009B0114" w:rsidP="009B0114">
      <w:pPr>
        <w:pStyle w:val="CACCorps"/>
        <w:rPr>
          <w:rFonts w:eastAsia="Arial Unicode MS" w:cs="Times New Roman"/>
          <w:szCs w:val="20"/>
          <w:lang w:eastAsia="fr-FR"/>
        </w:rPr>
      </w:pPr>
    </w:p>
    <w:p w:rsidR="009B0114" w:rsidRDefault="009B0114" w:rsidP="009B0114">
      <w:pPr>
        <w:pStyle w:val="CACCorps"/>
        <w:rPr>
          <w:rFonts w:eastAsia="Arial Unicode MS" w:cs="Times New Roman"/>
          <w:szCs w:val="20"/>
          <w:lang w:eastAsia="fr-FR"/>
        </w:rPr>
      </w:pPr>
      <w:r w:rsidRPr="003426BA">
        <w:rPr>
          <w:rFonts w:eastAsia="Arial Unicode MS" w:cs="Times New Roman"/>
          <w:szCs w:val="20"/>
          <w:u w:val="single"/>
          <w:lang w:eastAsia="fr-FR"/>
        </w:rPr>
        <w:t>Exemple :</w:t>
      </w:r>
      <w:r w:rsidRPr="00182A00">
        <w:rPr>
          <w:rFonts w:eastAsia="Arial Unicode MS" w:cs="Times New Roman"/>
          <w:szCs w:val="20"/>
          <w:lang w:eastAsia="fr-FR"/>
        </w:rPr>
        <w:t xml:space="preserve"> une société dont le transfert sur Alternext est réalisé avant la date limite de publication des comptes semestriels, soit le 31 août pour un exercice coïncidant avec l'année civile, ne sera pas tenue de publier le rapport financier semestriel.</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Titre2"/>
        <w:rPr>
          <w:lang w:eastAsia="fr-FR"/>
        </w:rPr>
      </w:pPr>
      <w:bookmarkStart w:id="58" w:name="_Toc291775724"/>
      <w:bookmarkStart w:id="59" w:name="_Toc291776989"/>
      <w:bookmarkStart w:id="60" w:name="_Toc452390493"/>
      <w:r>
        <w:rPr>
          <w:lang w:eastAsia="fr-FR"/>
        </w:rPr>
        <w:t>RAPPEL DE LA REGLEMENTATION APPLICABLE AUX COMPTES CONSOLIDES DES SOCIETES DONT LES TITRES NE SONT PAS ADMIS SUR UN MARCHE REGLEMENTE D’UN ETAT MEMBRE</w:t>
      </w:r>
      <w:bookmarkEnd w:id="58"/>
      <w:bookmarkEnd w:id="59"/>
      <w:bookmarkEnd w:id="60"/>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L'article 5 du règlement européen n° 1606/2002 énonce :</w:t>
      </w: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 Options concernant les comptes annuels et les sociétés qui ne font pas appel public à l'épargne</w:t>
      </w:r>
    </w:p>
    <w:p w:rsidR="009B0114" w:rsidRPr="00182A00" w:rsidRDefault="009B0114" w:rsidP="009B0114">
      <w:pPr>
        <w:pStyle w:val="CACCorps"/>
        <w:rPr>
          <w:rFonts w:eastAsia="Arial Unicode MS" w:cs="Times New Roman"/>
          <w:szCs w:val="20"/>
          <w:lang w:eastAsia="fr-FR"/>
        </w:rPr>
      </w:pPr>
      <w:r w:rsidRPr="003426BA">
        <w:rPr>
          <w:rFonts w:eastAsia="Arial Unicode MS" w:cs="Times New Roman"/>
          <w:i/>
          <w:szCs w:val="20"/>
          <w:lang w:eastAsia="fr-FR"/>
        </w:rPr>
        <w:t xml:space="preserve">Les États membres peuvent autoriser ou obliger les sociétés visées à l'article 4 à établir leurs comptes </w:t>
      </w:r>
      <w:proofErr w:type="gramStart"/>
      <w:r w:rsidRPr="003426BA">
        <w:rPr>
          <w:rFonts w:eastAsia="Arial Unicode MS" w:cs="Times New Roman"/>
          <w:i/>
          <w:szCs w:val="20"/>
          <w:lang w:eastAsia="fr-FR"/>
        </w:rPr>
        <w:t>annuels ,les</w:t>
      </w:r>
      <w:proofErr w:type="gramEnd"/>
      <w:r w:rsidRPr="003426BA">
        <w:rPr>
          <w:rFonts w:eastAsia="Arial Unicode MS" w:cs="Times New Roman"/>
          <w:i/>
          <w:szCs w:val="20"/>
          <w:lang w:eastAsia="fr-FR"/>
        </w:rPr>
        <w:t xml:space="preserve"> sociétés autres que celles visées à l'article 4 à établir leurs comptes consolidés et/ou leurs comptes annuels, conformément aux normes comptables internationales adoptées selon la procédure prévue à l'article 6, paragraphe 2.</w:t>
      </w:r>
      <w:r w:rsidRPr="00182A00">
        <w:rPr>
          <w:rFonts w:eastAsia="Arial Unicode MS" w:cs="Times New Roman"/>
          <w:szCs w:val="20"/>
          <w:lang w:eastAsia="fr-FR"/>
        </w:rPr>
        <w:t xml:space="preserve"> »</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 xml:space="preserve">L'article L233-24 du code de commerce modifié par l'article 1 er de l'ordonnance n°2004-1382 du </w:t>
      </w:r>
      <w:smartTag w:uri="urn:schemas-microsoft-com:office:smarttags" w:element="date">
        <w:smartTagPr>
          <w:attr w:name="Year" w:val="2004"/>
          <w:attr w:name="Day" w:val="20"/>
          <w:attr w:name="Month" w:val="12"/>
          <w:attr w:name="ls" w:val="trans"/>
        </w:smartTagPr>
        <w:r w:rsidRPr="00182A00">
          <w:rPr>
            <w:rFonts w:eastAsia="Arial Unicode MS" w:cs="Times New Roman"/>
            <w:szCs w:val="20"/>
            <w:lang w:eastAsia="fr-FR"/>
          </w:rPr>
          <w:t>20 décembre 2004</w:t>
        </w:r>
      </w:smartTag>
      <w:r w:rsidRPr="00182A00">
        <w:rPr>
          <w:rFonts w:eastAsia="Arial Unicode MS" w:cs="Times New Roman"/>
          <w:szCs w:val="20"/>
          <w:lang w:eastAsia="fr-FR"/>
        </w:rPr>
        <w:t>:</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 xml:space="preserve">« </w:t>
      </w:r>
      <w:r w:rsidRPr="003426BA">
        <w:rPr>
          <w:rFonts w:eastAsia="Arial Unicode MS" w:cs="Times New Roman"/>
          <w:i/>
          <w:szCs w:val="20"/>
          <w:lang w:eastAsia="fr-FR"/>
        </w:rPr>
        <w:t xml:space="preserve">Lorsqu'elles utilisent les normes comptables internationales adoptées par règlement de </w:t>
      </w:r>
      <w:smartTag w:uri="urn:schemas-microsoft-com:office:smarttags" w:element="PersonName">
        <w:smartTagPr>
          <w:attr w:name="ProductID" w:val="la Commission"/>
        </w:smartTagPr>
        <w:r w:rsidRPr="003426BA">
          <w:rPr>
            <w:rFonts w:eastAsia="Arial Unicode MS" w:cs="Times New Roman"/>
            <w:i/>
            <w:szCs w:val="20"/>
            <w:lang w:eastAsia="fr-FR"/>
          </w:rPr>
          <w:t>la Commission</w:t>
        </w:r>
      </w:smartTag>
      <w:r w:rsidRPr="003426BA">
        <w:rPr>
          <w:rFonts w:eastAsia="Arial Unicode MS" w:cs="Times New Roman"/>
          <w:i/>
          <w:szCs w:val="20"/>
          <w:lang w:eastAsia="fr-FR"/>
        </w:rPr>
        <w:t xml:space="preserve"> européenne, les sociétés commerciales qui établissent et publient des comptes consolidés au sens de l'article L. 233-16 sont dispensées de se conformer aux règles comptables prévues par les articles L. 233-18 à L. 233-23 pour l'établissement et la publication de leurs comptes consolidés.</w:t>
      </w:r>
      <w:r w:rsidRPr="00182A00">
        <w:rPr>
          <w:rFonts w:eastAsia="Arial Unicode MS" w:cs="Times New Roman"/>
          <w:szCs w:val="20"/>
          <w:lang w:eastAsia="fr-FR"/>
        </w:rPr>
        <w:t xml:space="preserve"> »</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smartTag w:uri="urn:schemas-microsoft-com:office:smarttags" w:element="PersonName">
        <w:smartTagPr>
          <w:attr w:name="ProductID" w:val="La France"/>
        </w:smartTagPr>
        <w:r w:rsidRPr="00182A00">
          <w:rPr>
            <w:rFonts w:eastAsia="Arial Unicode MS" w:cs="Times New Roman"/>
            <w:szCs w:val="20"/>
            <w:lang w:eastAsia="fr-FR"/>
          </w:rPr>
          <w:t>La France</w:t>
        </w:r>
      </w:smartTag>
      <w:r w:rsidRPr="00182A00">
        <w:rPr>
          <w:rFonts w:eastAsia="Arial Unicode MS" w:cs="Times New Roman"/>
          <w:szCs w:val="20"/>
          <w:lang w:eastAsia="fr-FR"/>
        </w:rPr>
        <w:t xml:space="preserve"> laisse donc la possibilité aux sociétés dont les titres ne sont pas admis sur un marché réglementé à établir leurs comptes consolidés selon les normes IFRS si elles le désirent.</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Lorsqu'une société transfère ses titres du marché Euronext vers le marché Alternext, elle n'est plus obligée d'établir des comptes consolidés sous le référentiel IFRS.</w:t>
      </w: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 xml:space="preserve"> En conséquence de son transfert, la société peut :</w:t>
      </w:r>
    </w:p>
    <w:p w:rsidR="009B0114" w:rsidRPr="00182A00" w:rsidRDefault="009B0114" w:rsidP="009B0114">
      <w:pPr>
        <w:pStyle w:val="CACCorps"/>
        <w:numPr>
          <w:ilvl w:val="0"/>
          <w:numId w:val="36"/>
        </w:numPr>
        <w:rPr>
          <w:rFonts w:eastAsia="Arial Unicode MS" w:cs="Times New Roman"/>
          <w:szCs w:val="20"/>
          <w:lang w:eastAsia="fr-FR"/>
        </w:rPr>
      </w:pPr>
      <w:r w:rsidRPr="00182A00">
        <w:rPr>
          <w:rFonts w:eastAsia="Arial Unicode MS" w:cs="Times New Roman"/>
          <w:szCs w:val="20"/>
          <w:lang w:eastAsia="fr-FR"/>
        </w:rPr>
        <w:t>soit appliquer le règlement du CRC n° 99-02 ce qui constitue un changement de référentiel comptable ;</w:t>
      </w:r>
    </w:p>
    <w:p w:rsidR="009B0114" w:rsidRPr="00182A00" w:rsidRDefault="009B0114" w:rsidP="009B0114">
      <w:pPr>
        <w:pStyle w:val="CACCorps"/>
        <w:numPr>
          <w:ilvl w:val="0"/>
          <w:numId w:val="36"/>
        </w:numPr>
        <w:rPr>
          <w:rFonts w:eastAsia="Arial Unicode MS" w:cs="Times New Roman"/>
          <w:szCs w:val="20"/>
          <w:lang w:eastAsia="fr-FR"/>
        </w:rPr>
      </w:pPr>
      <w:r w:rsidRPr="00182A00">
        <w:rPr>
          <w:rFonts w:eastAsia="Arial Unicode MS" w:cs="Times New Roman"/>
          <w:szCs w:val="20"/>
          <w:lang w:eastAsia="fr-FR"/>
        </w:rPr>
        <w:t>soit opter pour les normes IFRS.</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Titre2"/>
        <w:rPr>
          <w:lang w:eastAsia="fr-FR"/>
        </w:rPr>
      </w:pPr>
      <w:bookmarkStart w:id="61" w:name="_Toc291775725"/>
      <w:bookmarkStart w:id="62" w:name="_Toc291776990"/>
      <w:bookmarkStart w:id="63" w:name="_Toc452390494"/>
      <w:r>
        <w:rPr>
          <w:lang w:eastAsia="fr-FR"/>
        </w:rPr>
        <w:t>MODALITES DE TRANSITION VERS LE REFERENTIEL COMPTABLE CRC 99</w:t>
      </w:r>
      <w:r>
        <w:rPr>
          <w:lang w:eastAsia="fr-FR"/>
        </w:rPr>
        <w:noBreakHyphen/>
        <w:t>02</w:t>
      </w:r>
      <w:bookmarkEnd w:id="61"/>
      <w:bookmarkEnd w:id="62"/>
      <w:bookmarkEnd w:id="63"/>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 xml:space="preserve">L'Autorité des normes comptables a adopté le </w:t>
      </w:r>
      <w:smartTag w:uri="urn:schemas-microsoft-com:office:smarttags" w:element="date">
        <w:smartTagPr>
          <w:attr w:name="Year" w:val="2010"/>
          <w:attr w:name="Day" w:val="3"/>
          <w:attr w:name="Month" w:val="6"/>
          <w:attr w:name="ls" w:val="trans"/>
        </w:smartTagPr>
        <w:r w:rsidRPr="00182A00">
          <w:rPr>
            <w:rFonts w:eastAsia="Arial Unicode MS" w:cs="Times New Roman"/>
            <w:szCs w:val="20"/>
            <w:lang w:eastAsia="fr-FR"/>
          </w:rPr>
          <w:t>3 juin 2010</w:t>
        </w:r>
      </w:smartTag>
      <w:r w:rsidRPr="00182A00">
        <w:rPr>
          <w:rFonts w:eastAsia="Arial Unicode MS" w:cs="Times New Roman"/>
          <w:szCs w:val="20"/>
          <w:lang w:eastAsia="fr-FR"/>
        </w:rPr>
        <w:t xml:space="preserve"> un règlement (règlement n°2010-01) relatif aux modalités de première application du règlement CRC n°99-02 par les sociétés dont les titres sont transférés du marché Euronext vers le marché Alternext. Ce règlement est accompagné d'une recommandation relative à l'application de ce règlement (n°2010-01), d'une note d'information relative au règlement et à la recommandation.</w:t>
      </w:r>
    </w:p>
    <w:p w:rsidR="009B0114" w:rsidRPr="00182A00" w:rsidRDefault="009B0114" w:rsidP="009B0114">
      <w:pPr>
        <w:pStyle w:val="CACCorps"/>
        <w:rPr>
          <w:rFonts w:eastAsia="Arial Unicode MS" w:cs="Times New Roman"/>
          <w:szCs w:val="20"/>
          <w:lang w:eastAsia="fr-FR"/>
        </w:rPr>
      </w:pPr>
    </w:p>
    <w:p w:rsidR="009B0114" w:rsidRPr="003426BA" w:rsidRDefault="009B0114" w:rsidP="009B0114">
      <w:pPr>
        <w:pStyle w:val="CACCorps"/>
        <w:rPr>
          <w:rFonts w:eastAsia="Arial Unicode MS" w:cs="Times New Roman"/>
          <w:b/>
          <w:szCs w:val="20"/>
          <w:lang w:eastAsia="fr-FR"/>
        </w:rPr>
      </w:pPr>
      <w:r w:rsidRPr="003426BA">
        <w:rPr>
          <w:rFonts w:eastAsia="Arial Unicode MS" w:cs="Times New Roman"/>
          <w:b/>
          <w:szCs w:val="20"/>
          <w:lang w:eastAsia="fr-FR"/>
        </w:rPr>
        <w:t>Considérant l'importance de cette information pour les investisseurs, l'AMF recommande aux émetteurs concernés d'appliquer les dispositions prévues à la recommandation ANC n°2010-01.</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Sur cet aspect, l'AMF rappelle que le règlement n°2010-01 de l'ANC précise notamment que:</w:t>
      </w:r>
    </w:p>
    <w:p w:rsidR="009B0114" w:rsidRPr="00182A00" w:rsidRDefault="009B0114" w:rsidP="009B0114">
      <w:pPr>
        <w:pStyle w:val="CACCorps"/>
        <w:numPr>
          <w:ilvl w:val="0"/>
          <w:numId w:val="37"/>
        </w:numPr>
        <w:rPr>
          <w:rFonts w:eastAsia="Arial Unicode MS" w:cs="Times New Roman"/>
          <w:szCs w:val="20"/>
          <w:lang w:eastAsia="fr-FR"/>
        </w:rPr>
      </w:pPr>
      <w:r w:rsidRPr="00182A00">
        <w:rPr>
          <w:rFonts w:eastAsia="Arial Unicode MS" w:cs="Times New Roman"/>
          <w:szCs w:val="20"/>
          <w:lang w:eastAsia="fr-FR"/>
        </w:rPr>
        <w:lastRenderedPageBreak/>
        <w:t>le changement de référentiel doit être effectué de façon rétrospective (sauf si impraticable) en utilisant les règles et méthodes comptables en vigueur à la date de clôture de l'exercice du changement ;</w:t>
      </w:r>
    </w:p>
    <w:p w:rsidR="009B0114" w:rsidRPr="00182A00" w:rsidRDefault="009B0114" w:rsidP="009B0114">
      <w:pPr>
        <w:pStyle w:val="CACCorps"/>
        <w:numPr>
          <w:ilvl w:val="0"/>
          <w:numId w:val="37"/>
        </w:numPr>
        <w:rPr>
          <w:rFonts w:eastAsia="Arial Unicode MS" w:cs="Times New Roman"/>
          <w:szCs w:val="20"/>
          <w:lang w:eastAsia="fr-FR"/>
        </w:rPr>
      </w:pPr>
      <w:r w:rsidRPr="00182A00">
        <w:rPr>
          <w:rFonts w:eastAsia="Arial Unicode MS" w:cs="Times New Roman"/>
          <w:szCs w:val="20"/>
          <w:lang w:eastAsia="fr-FR"/>
        </w:rPr>
        <w:t>les ajustements en résultant sont comptabilisés en capitaux propres du bilan d'ouverture de l'exercice de précédant l'exercice de changement de référentiel.</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Afin de permettre aux lecteurs des états financiers une bonne compréhension des impacts liés au changement de référentiel, le règlement de l'ANC prévoit la communication de documents de synthèse consolidés de l'exercice de transition et d'informations à fournir en annexe.</w:t>
      </w:r>
    </w:p>
    <w:p w:rsidR="009B0114" w:rsidRPr="00182A00" w:rsidRDefault="009B0114" w:rsidP="009B0114">
      <w:pPr>
        <w:pStyle w:val="CACCorps"/>
        <w:rPr>
          <w:rFonts w:eastAsia="Arial Unicode MS" w:cs="Times New Roman"/>
          <w:szCs w:val="20"/>
          <w:lang w:eastAsia="fr-FR"/>
        </w:rPr>
      </w:pPr>
    </w:p>
    <w:p w:rsidR="009B0114" w:rsidRPr="003426BA" w:rsidRDefault="009B0114" w:rsidP="009B0114">
      <w:pPr>
        <w:pStyle w:val="CACTitre5"/>
        <w:rPr>
          <w:lang w:eastAsia="fr-FR"/>
        </w:rPr>
      </w:pPr>
      <w:bookmarkStart w:id="64" w:name="_Toc291776991"/>
      <w:r w:rsidRPr="003426BA">
        <w:rPr>
          <w:lang w:eastAsia="fr-FR"/>
        </w:rPr>
        <w:t>Les documents de synthèse de transition</w:t>
      </w:r>
      <w:bookmarkEnd w:id="64"/>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Les documents de synthèse de transition comprennent :</w:t>
      </w:r>
    </w:p>
    <w:p w:rsidR="009B0114" w:rsidRPr="003426BA" w:rsidRDefault="009B0114" w:rsidP="009B0114">
      <w:pPr>
        <w:pStyle w:val="CACCorps"/>
        <w:numPr>
          <w:ilvl w:val="0"/>
          <w:numId w:val="38"/>
        </w:numPr>
        <w:rPr>
          <w:rFonts w:eastAsia="Arial Unicode MS" w:cs="Times New Roman"/>
          <w:b/>
          <w:szCs w:val="20"/>
          <w:lang w:eastAsia="fr-FR"/>
        </w:rPr>
      </w:pPr>
      <w:r w:rsidRPr="003426BA">
        <w:rPr>
          <w:rFonts w:eastAsia="Arial Unicode MS" w:cs="Times New Roman"/>
          <w:b/>
          <w:szCs w:val="20"/>
          <w:lang w:eastAsia="fr-FR"/>
        </w:rPr>
        <w:t>la présentation dans le bilan et le compte de résultat consolidés de l'exercice N établis selon le référentiel français d'une colonne comparative N-1 retraitée conformément à ce référentiel et</w:t>
      </w:r>
    </w:p>
    <w:p w:rsidR="009B0114" w:rsidRPr="003426BA" w:rsidRDefault="009B0114" w:rsidP="009B0114">
      <w:pPr>
        <w:pStyle w:val="CACCorps"/>
        <w:numPr>
          <w:ilvl w:val="0"/>
          <w:numId w:val="38"/>
        </w:numPr>
        <w:rPr>
          <w:rFonts w:eastAsia="Arial Unicode MS" w:cs="Times New Roman"/>
          <w:b/>
          <w:szCs w:val="20"/>
          <w:lang w:eastAsia="fr-FR"/>
        </w:rPr>
      </w:pPr>
      <w:r w:rsidRPr="003426BA">
        <w:rPr>
          <w:rFonts w:eastAsia="Arial Unicode MS" w:cs="Times New Roman"/>
          <w:b/>
          <w:szCs w:val="20"/>
          <w:lang w:eastAsia="fr-FR"/>
        </w:rPr>
        <w:t>le retraitement selon le règlement CRC n°99-02 des informations chiffrées comparatives présentées dans l'annexe au titre de l'exercice précédent.</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 xml:space="preserve">Selon l'article L123-15 du code de commerce : « (...). </w:t>
      </w:r>
      <w:proofErr w:type="gramStart"/>
      <w:r w:rsidRPr="003426BA">
        <w:rPr>
          <w:rFonts w:eastAsia="Arial Unicode MS" w:cs="Times New Roman"/>
          <w:i/>
          <w:szCs w:val="20"/>
          <w:lang w:eastAsia="fr-FR"/>
        </w:rPr>
        <w:t>chacun</w:t>
      </w:r>
      <w:proofErr w:type="gramEnd"/>
      <w:r w:rsidRPr="003426BA">
        <w:rPr>
          <w:rFonts w:eastAsia="Arial Unicode MS" w:cs="Times New Roman"/>
          <w:i/>
          <w:szCs w:val="20"/>
          <w:lang w:eastAsia="fr-FR"/>
        </w:rPr>
        <w:t xml:space="preserve"> des postes du bilan et du compte de résultat comporte l'indication du chiffre relatif au poste correspondant de l'exercice précédent. (...).</w:t>
      </w:r>
      <w:r w:rsidRPr="00182A00">
        <w:rPr>
          <w:rFonts w:eastAsia="Arial Unicode MS" w:cs="Times New Roman"/>
          <w:szCs w:val="20"/>
          <w:lang w:eastAsia="fr-FR"/>
        </w:rPr>
        <w:t xml:space="preserve"> »</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Lors de la première application du règlement du CRC n° 99-02 dans le cadre du transfert des instruments financiers du marché Euronext vers le marché Alternext, la comparabilité des documents de synthèse est assurée par :</w:t>
      </w:r>
    </w:p>
    <w:p w:rsidR="009B0114" w:rsidRPr="00182A00" w:rsidRDefault="009B0114" w:rsidP="009B0114">
      <w:pPr>
        <w:pStyle w:val="CACCorps"/>
        <w:rPr>
          <w:rFonts w:eastAsia="Arial Unicode MS" w:cs="Times New Roman"/>
          <w:szCs w:val="20"/>
          <w:lang w:eastAsia="fr-FR"/>
        </w:rPr>
      </w:pPr>
    </w:p>
    <w:p w:rsidR="009B0114" w:rsidRPr="003426BA" w:rsidRDefault="009B0114" w:rsidP="009B0114">
      <w:pPr>
        <w:pStyle w:val="CACCorps"/>
        <w:numPr>
          <w:ilvl w:val="0"/>
          <w:numId w:val="39"/>
        </w:numPr>
        <w:rPr>
          <w:rFonts w:eastAsia="Arial Unicode MS" w:cs="Times New Roman"/>
          <w:szCs w:val="20"/>
          <w:u w:val="single"/>
          <w:lang w:eastAsia="fr-FR"/>
        </w:rPr>
      </w:pPr>
      <w:r w:rsidRPr="003426BA">
        <w:rPr>
          <w:rFonts w:eastAsia="Arial Unicode MS" w:cs="Times New Roman"/>
          <w:szCs w:val="20"/>
          <w:u w:val="single"/>
          <w:lang w:eastAsia="fr-FR"/>
        </w:rPr>
        <w:t>la présentation d'un bilan et d'un compte de résultat de l'exercice N-1 retraités</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Le bilan et le compte de résultat de l'exercice précédant celui d'adoption du règlement du CRC n° 99-02 doivent être retraités selon les mêmes méthodes comptables que celles utilisées pour l'arrêté des comptes annuels consolidés du premier exercice d'application du règlement du CRC n° 99-02.</w:t>
      </w:r>
    </w:p>
    <w:p w:rsidR="009B0114" w:rsidRPr="00182A00" w:rsidRDefault="009B0114" w:rsidP="009B0114">
      <w:pPr>
        <w:pStyle w:val="CACCorps"/>
        <w:rPr>
          <w:rFonts w:eastAsia="Arial Unicode MS" w:cs="Times New Roman"/>
          <w:szCs w:val="20"/>
          <w:lang w:eastAsia="fr-FR"/>
        </w:rPr>
      </w:pPr>
    </w:p>
    <w:p w:rsidR="009B0114" w:rsidRPr="003426BA" w:rsidRDefault="009B0114" w:rsidP="009B0114">
      <w:pPr>
        <w:pStyle w:val="CACCorps"/>
        <w:numPr>
          <w:ilvl w:val="0"/>
          <w:numId w:val="39"/>
        </w:numPr>
        <w:rPr>
          <w:rFonts w:eastAsia="Arial Unicode MS" w:cs="Times New Roman"/>
          <w:szCs w:val="20"/>
          <w:u w:val="single"/>
          <w:lang w:eastAsia="fr-FR"/>
        </w:rPr>
      </w:pPr>
      <w:r w:rsidRPr="003426BA">
        <w:rPr>
          <w:rFonts w:eastAsia="Arial Unicode MS" w:cs="Times New Roman"/>
          <w:szCs w:val="20"/>
          <w:u w:val="single"/>
          <w:lang w:eastAsia="fr-FR"/>
        </w:rPr>
        <w:t>la présentation du bilan et du compte de résultat publiés de l'exercice N-1</w:t>
      </w:r>
    </w:p>
    <w:p w:rsidR="009B0114" w:rsidRPr="003426BA" w:rsidRDefault="009B0114" w:rsidP="009B0114">
      <w:pPr>
        <w:pStyle w:val="CACCorps"/>
        <w:rPr>
          <w:rFonts w:eastAsia="Arial Unicode MS" w:cs="Times New Roman"/>
          <w:szCs w:val="20"/>
          <w:u w:val="single"/>
          <w:lang w:eastAsia="fr-FR"/>
        </w:rPr>
      </w:pPr>
    </w:p>
    <w:p w:rsidR="009B0114"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Selon l'article L123-15 du code de commerce, le bilan et le compte de résultat doivent être présentés avec les chiffres correspondants de l'exercice précédent. Lorsque l'ancien et le nouveau format de présentation sont suffisamment comparables, les sociétés peuvent présenter leur bilan et leur compte de résultat consolidés de la façon suivante :</w:t>
      </w:r>
    </w:p>
    <w:p w:rsidR="009B0114" w:rsidRDefault="009B0114" w:rsidP="009B0114">
      <w:pPr>
        <w:pStyle w:val="CACCorps"/>
        <w:rPr>
          <w:rFonts w:eastAsia="Arial Unicode MS" w:cs="Times New Roman"/>
          <w:szCs w:val="20"/>
          <w:lang w:eastAsia="fr-FR"/>
        </w:rPr>
      </w:pPr>
    </w:p>
    <w:tbl>
      <w:tblPr>
        <w:tblStyle w:val="Grilledutableau"/>
        <w:tblW w:w="0" w:type="auto"/>
        <w:tblInd w:w="46" w:type="dxa"/>
        <w:tblLook w:val="04A0" w:firstRow="1" w:lastRow="0" w:firstColumn="1" w:lastColumn="0" w:noHBand="0" w:noVBand="1"/>
      </w:tblPr>
      <w:tblGrid>
        <w:gridCol w:w="2302"/>
        <w:gridCol w:w="2302"/>
        <w:gridCol w:w="2303"/>
        <w:gridCol w:w="2303"/>
      </w:tblGrid>
      <w:tr w:rsidR="009B0114" w:rsidTr="00B17386">
        <w:tc>
          <w:tcPr>
            <w:tcW w:w="2302" w:type="dxa"/>
            <w:shd w:val="clear" w:color="auto" w:fill="301628" w:themeFill="accent1" w:themeFillShade="80"/>
            <w:vAlign w:val="center"/>
          </w:tcPr>
          <w:p w:rsidR="009B0114" w:rsidRPr="008D62AC" w:rsidRDefault="009B0114" w:rsidP="00B17386">
            <w:pPr>
              <w:pStyle w:val="CACCorps"/>
              <w:spacing w:before="40" w:after="40"/>
              <w:ind w:left="0"/>
              <w:jc w:val="center"/>
              <w:rPr>
                <w:rFonts w:eastAsia="Arial Unicode MS" w:cs="Times New Roman"/>
                <w:b/>
                <w:color w:val="FFFFFF" w:themeColor="background1"/>
                <w:szCs w:val="20"/>
                <w:lang w:eastAsia="fr-FR"/>
              </w:rPr>
            </w:pPr>
            <w:r w:rsidRPr="008D62AC">
              <w:rPr>
                <w:rFonts w:eastAsia="Arial Unicode MS" w:cs="Times New Roman"/>
                <w:b/>
                <w:color w:val="FFFFFF" w:themeColor="background1"/>
                <w:szCs w:val="20"/>
                <w:lang w:eastAsia="fr-FR"/>
              </w:rPr>
              <w:t>Eléments du bilan et du compte de résultat</w:t>
            </w:r>
          </w:p>
        </w:tc>
        <w:tc>
          <w:tcPr>
            <w:tcW w:w="2302" w:type="dxa"/>
            <w:shd w:val="clear" w:color="auto" w:fill="301628" w:themeFill="accent1" w:themeFillShade="80"/>
            <w:vAlign w:val="center"/>
          </w:tcPr>
          <w:p w:rsidR="009B0114" w:rsidRPr="008D62AC" w:rsidRDefault="009B0114" w:rsidP="00B17386">
            <w:pPr>
              <w:pStyle w:val="CACCorps"/>
              <w:spacing w:before="40" w:after="40"/>
              <w:ind w:left="0"/>
              <w:jc w:val="center"/>
              <w:rPr>
                <w:rFonts w:eastAsia="Arial Unicode MS" w:cs="Times New Roman"/>
                <w:b/>
                <w:color w:val="FFFFFF" w:themeColor="background1"/>
                <w:szCs w:val="20"/>
                <w:lang w:eastAsia="fr-FR"/>
              </w:rPr>
            </w:pPr>
            <w:r w:rsidRPr="008D62AC">
              <w:rPr>
                <w:rFonts w:eastAsia="Arial Unicode MS" w:cs="Times New Roman"/>
                <w:b/>
                <w:color w:val="FFFFFF" w:themeColor="background1"/>
                <w:szCs w:val="20"/>
                <w:lang w:eastAsia="fr-FR"/>
              </w:rPr>
              <w:t>Exercice N</w:t>
            </w:r>
          </w:p>
        </w:tc>
        <w:tc>
          <w:tcPr>
            <w:tcW w:w="2303" w:type="dxa"/>
            <w:shd w:val="clear" w:color="auto" w:fill="301628" w:themeFill="accent1" w:themeFillShade="80"/>
            <w:vAlign w:val="center"/>
          </w:tcPr>
          <w:p w:rsidR="009B0114" w:rsidRPr="008D62AC" w:rsidRDefault="009B0114" w:rsidP="00B17386">
            <w:pPr>
              <w:pStyle w:val="CACCorps"/>
              <w:spacing w:before="40" w:after="40"/>
              <w:ind w:left="0"/>
              <w:jc w:val="center"/>
              <w:rPr>
                <w:rFonts w:eastAsia="Arial Unicode MS" w:cs="Times New Roman"/>
                <w:b/>
                <w:color w:val="FFFFFF" w:themeColor="background1"/>
                <w:szCs w:val="20"/>
                <w:lang w:eastAsia="fr-FR"/>
              </w:rPr>
            </w:pPr>
            <w:r w:rsidRPr="008D62AC">
              <w:rPr>
                <w:rFonts w:eastAsia="Arial Unicode MS" w:cs="Times New Roman"/>
                <w:b/>
                <w:color w:val="FFFFFF" w:themeColor="background1"/>
                <w:szCs w:val="20"/>
                <w:lang w:eastAsia="fr-FR"/>
              </w:rPr>
              <w:t>Exercice N-1</w:t>
            </w:r>
            <w:r w:rsidRPr="008D62AC">
              <w:rPr>
                <w:rFonts w:eastAsia="Arial Unicode MS" w:cs="Times New Roman"/>
                <w:b/>
                <w:color w:val="FFFFFF" w:themeColor="background1"/>
                <w:szCs w:val="20"/>
                <w:lang w:eastAsia="fr-FR"/>
              </w:rPr>
              <w:br/>
              <w:t>retraité</w:t>
            </w:r>
          </w:p>
        </w:tc>
        <w:tc>
          <w:tcPr>
            <w:tcW w:w="2303" w:type="dxa"/>
            <w:shd w:val="clear" w:color="auto" w:fill="301628" w:themeFill="accent1" w:themeFillShade="80"/>
            <w:vAlign w:val="center"/>
          </w:tcPr>
          <w:p w:rsidR="009B0114" w:rsidRPr="008D62AC" w:rsidRDefault="009B0114" w:rsidP="00B17386">
            <w:pPr>
              <w:pStyle w:val="CACCorps"/>
              <w:spacing w:before="40" w:after="40"/>
              <w:ind w:left="0"/>
              <w:jc w:val="center"/>
              <w:rPr>
                <w:rFonts w:eastAsia="Arial Unicode MS" w:cs="Times New Roman"/>
                <w:b/>
                <w:color w:val="FFFFFF" w:themeColor="background1"/>
                <w:szCs w:val="20"/>
                <w:lang w:eastAsia="fr-FR"/>
              </w:rPr>
            </w:pPr>
            <w:r w:rsidRPr="008D62AC">
              <w:rPr>
                <w:rFonts w:eastAsia="Arial Unicode MS" w:cs="Times New Roman"/>
                <w:b/>
                <w:color w:val="FFFFFF" w:themeColor="background1"/>
                <w:szCs w:val="20"/>
                <w:lang w:eastAsia="fr-FR"/>
              </w:rPr>
              <w:t>Exercice N-1</w:t>
            </w:r>
            <w:r w:rsidRPr="008D62AC">
              <w:rPr>
                <w:rFonts w:eastAsia="Arial Unicode MS" w:cs="Times New Roman"/>
                <w:b/>
                <w:color w:val="FFFFFF" w:themeColor="background1"/>
                <w:szCs w:val="20"/>
                <w:lang w:eastAsia="fr-FR"/>
              </w:rPr>
              <w:br/>
              <w:t>publié</w:t>
            </w:r>
          </w:p>
        </w:tc>
      </w:tr>
      <w:tr w:rsidR="009B0114" w:rsidTr="00B17386">
        <w:tc>
          <w:tcPr>
            <w:tcW w:w="2302" w:type="dxa"/>
          </w:tcPr>
          <w:p w:rsidR="009B0114" w:rsidRDefault="009B0114" w:rsidP="00B17386">
            <w:pPr>
              <w:pStyle w:val="CACCorps"/>
              <w:ind w:left="0"/>
              <w:rPr>
                <w:rFonts w:eastAsia="Arial Unicode MS" w:cs="Times New Roman"/>
                <w:szCs w:val="20"/>
                <w:lang w:eastAsia="fr-FR"/>
              </w:rPr>
            </w:pPr>
          </w:p>
          <w:p w:rsidR="009B0114" w:rsidRDefault="009B0114" w:rsidP="00B17386">
            <w:pPr>
              <w:pStyle w:val="CACCorps"/>
              <w:ind w:left="0"/>
              <w:rPr>
                <w:rFonts w:eastAsia="Arial Unicode MS" w:cs="Times New Roman"/>
                <w:szCs w:val="20"/>
                <w:lang w:eastAsia="fr-FR"/>
              </w:rPr>
            </w:pPr>
          </w:p>
        </w:tc>
        <w:tc>
          <w:tcPr>
            <w:tcW w:w="2302" w:type="dxa"/>
          </w:tcPr>
          <w:p w:rsidR="009B0114" w:rsidRDefault="009B0114" w:rsidP="00B17386">
            <w:pPr>
              <w:pStyle w:val="CACCorps"/>
              <w:ind w:left="0"/>
              <w:rPr>
                <w:rFonts w:eastAsia="Arial Unicode MS" w:cs="Times New Roman"/>
                <w:szCs w:val="20"/>
                <w:lang w:eastAsia="fr-FR"/>
              </w:rPr>
            </w:pPr>
          </w:p>
        </w:tc>
        <w:tc>
          <w:tcPr>
            <w:tcW w:w="2303" w:type="dxa"/>
          </w:tcPr>
          <w:p w:rsidR="009B0114" w:rsidRDefault="009B0114" w:rsidP="00B17386">
            <w:pPr>
              <w:pStyle w:val="CACCorps"/>
              <w:ind w:left="0"/>
              <w:rPr>
                <w:rFonts w:eastAsia="Arial Unicode MS" w:cs="Times New Roman"/>
                <w:szCs w:val="20"/>
                <w:lang w:eastAsia="fr-FR"/>
              </w:rPr>
            </w:pPr>
          </w:p>
        </w:tc>
        <w:tc>
          <w:tcPr>
            <w:tcW w:w="2303" w:type="dxa"/>
          </w:tcPr>
          <w:p w:rsidR="009B0114" w:rsidRDefault="009B0114" w:rsidP="00B17386">
            <w:pPr>
              <w:pStyle w:val="CACCorps"/>
              <w:ind w:left="0"/>
              <w:rPr>
                <w:rFonts w:eastAsia="Arial Unicode MS" w:cs="Times New Roman"/>
                <w:szCs w:val="20"/>
                <w:lang w:eastAsia="fr-FR"/>
              </w:rPr>
            </w:pPr>
          </w:p>
        </w:tc>
      </w:tr>
    </w:tbl>
    <w:p w:rsidR="009B0114"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Si une telle présentation n'est pas possible,</w:t>
      </w:r>
    </w:p>
    <w:p w:rsidR="009B0114" w:rsidRPr="00182A00" w:rsidRDefault="009B0114" w:rsidP="009B0114">
      <w:pPr>
        <w:pStyle w:val="CACCorps"/>
        <w:numPr>
          <w:ilvl w:val="0"/>
          <w:numId w:val="39"/>
        </w:numPr>
        <w:rPr>
          <w:rFonts w:eastAsia="Arial Unicode MS" w:cs="Times New Roman"/>
          <w:szCs w:val="20"/>
          <w:lang w:eastAsia="fr-FR"/>
        </w:rPr>
      </w:pPr>
      <w:r w:rsidRPr="00182A00">
        <w:rPr>
          <w:rFonts w:eastAsia="Arial Unicode MS" w:cs="Times New Roman"/>
          <w:szCs w:val="20"/>
          <w:lang w:eastAsia="fr-FR"/>
        </w:rPr>
        <w:t>Le bilan et le compte de résultat de l'exercice N sont publiés avec une colonne N-1 correspondant aux chiffres retraités selon le règlement n° 99-02</w:t>
      </w:r>
    </w:p>
    <w:p w:rsidR="009B0114" w:rsidRPr="00182A00" w:rsidRDefault="009B0114" w:rsidP="009B0114">
      <w:pPr>
        <w:pStyle w:val="CACCorps"/>
        <w:numPr>
          <w:ilvl w:val="0"/>
          <w:numId w:val="39"/>
        </w:numPr>
        <w:rPr>
          <w:rFonts w:eastAsia="Arial Unicode MS" w:cs="Times New Roman"/>
          <w:szCs w:val="20"/>
          <w:lang w:eastAsia="fr-FR"/>
        </w:rPr>
      </w:pPr>
      <w:r w:rsidRPr="00182A00">
        <w:rPr>
          <w:rFonts w:eastAsia="Arial Unicode MS" w:cs="Times New Roman"/>
          <w:szCs w:val="20"/>
          <w:lang w:eastAsia="fr-FR"/>
        </w:rPr>
        <w:t>le bilan et le compte de résultat consolidés préparés et publiés selon les normes IFRS sont présentés séparément dans l'annexe dans la note relative à l'incidence des retraitements (cf.5.3.2).</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lastRenderedPageBreak/>
        <w:t>Les informations chiffrées présentées dans l'annexe au titre de l'exercice N devront être accompagnées des chiffres retraités correspondants de l'exercice N-1.</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Enfin, il est rappelé que selon le règlement du CRC n° 99-02, le tableau des flux de trésorerie et le tableau de variations des capitaux propres consolidés ne sont pas des documents de synthèse mais des éléments d'information devant figurer en annexe.</w:t>
      </w:r>
    </w:p>
    <w:p w:rsidR="009B0114" w:rsidRDefault="009B0114" w:rsidP="009B0114">
      <w:pPr>
        <w:pStyle w:val="CACCorps"/>
        <w:rPr>
          <w:rFonts w:eastAsia="Arial Unicode MS" w:cs="Times New Roman"/>
          <w:szCs w:val="20"/>
          <w:lang w:eastAsia="fr-FR"/>
        </w:rPr>
      </w:pPr>
      <w:bookmarkStart w:id="65" w:name="_Toc291776992"/>
    </w:p>
    <w:p w:rsidR="009B0114" w:rsidRPr="003426BA" w:rsidRDefault="009B0114" w:rsidP="009B0114">
      <w:pPr>
        <w:pStyle w:val="CACCorps"/>
        <w:rPr>
          <w:rFonts w:eastAsia="Arial Unicode MS" w:cs="Times New Roman"/>
          <w:szCs w:val="20"/>
          <w:u w:val="single"/>
          <w:lang w:eastAsia="fr-FR"/>
        </w:rPr>
      </w:pPr>
      <w:r w:rsidRPr="003426BA">
        <w:rPr>
          <w:rFonts w:eastAsia="Arial Unicode MS" w:cs="Times New Roman"/>
          <w:szCs w:val="20"/>
          <w:u w:val="single"/>
          <w:lang w:eastAsia="fr-FR"/>
        </w:rPr>
        <w:t>Informations complémentaires à fournir en annexe</w:t>
      </w:r>
      <w:bookmarkEnd w:id="65"/>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asciiTheme="minorHAnsi" w:eastAsia="Arial Unicode MS" w:hAnsiTheme="minorHAnsi" w:cs="Times New Roman"/>
          <w:noProof/>
          <w:szCs w:val="20"/>
          <w:lang w:eastAsia="fr-FR"/>
        </w:rPr>
        <mc:AlternateContent>
          <mc:Choice Requires="wps">
            <w:drawing>
              <wp:anchor distT="0" distB="0" distL="0" distR="0" simplePos="0" relativeHeight="251664894" behindDoc="0" locked="0" layoutInCell="0" allowOverlap="1" wp14:anchorId="1EC8D25A" wp14:editId="193A8736">
                <wp:simplePos x="0" y="0"/>
                <wp:positionH relativeFrom="column">
                  <wp:posOffset>5542280</wp:posOffset>
                </wp:positionH>
                <wp:positionV relativeFrom="paragraph">
                  <wp:posOffset>9241790</wp:posOffset>
                </wp:positionV>
                <wp:extent cx="401320" cy="89535"/>
                <wp:effectExtent l="1270" t="1905" r="6985" b="3810"/>
                <wp:wrapSquare wrapText="bothSides"/>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320" cy="895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0114" w:rsidRDefault="009B0114" w:rsidP="009B0114">
                            <w:pPr>
                              <w:pStyle w:val="Style10"/>
                              <w:kinsoku w:val="0"/>
                              <w:autoSpaceDE/>
                              <w:autoSpaceDN/>
                              <w:adjustRightInd/>
                              <w:spacing w:line="199" w:lineRule="auto"/>
                              <w:rPr>
                                <w:rStyle w:val="CharacterStyle1"/>
                                <w:rFonts w:ascii="Verdana" w:hAnsi="Verdana" w:cs="Verdana"/>
                                <w:color w:val="717171"/>
                                <w:sz w:val="14"/>
                                <w:szCs w:val="14"/>
                              </w:rPr>
                            </w:pPr>
                            <w:r>
                              <w:rPr>
                                <w:rStyle w:val="CharacterStyle1"/>
                                <w:rFonts w:ascii="Verdana" w:hAnsi="Verdana" w:cs="Verdana"/>
                                <w:color w:val="717171"/>
                                <w:sz w:val="14"/>
                                <w:szCs w:val="14"/>
                              </w:rPr>
                              <w:t>6/7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9" o:spid="_x0000_s1027" type="#_x0000_t202" style="position:absolute;left:0;text-align:left;margin-left:436.4pt;margin-top:727.7pt;width:31.6pt;height:7.05pt;z-index:25166489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" o:allowincell="f" stroked="f">
                <v:fill opacity="0"/>
                <v:textbox inset="0,0,0,0">
                  <w:txbxContent>
                    <w:p w:rsidR="009B0114" w:rsidRDefault="009B0114" w:rsidP="009B0114">
                      <w:pPr>
                        <w:pStyle w:val="Style10"/>
                        <w:kinsoku w:val="0"/>
                        <w:autoSpaceDE/>
                        <w:autoSpaceDN/>
                        <w:adjustRightInd/>
                        <w:spacing w:line="199" w:lineRule="auto"/>
                        <w:rPr>
                          <w:rStyle w:val="CharacterStyle1"/>
                          <w:rFonts w:ascii="Verdana" w:hAnsi="Verdana" w:cs="Verdana"/>
                          <w:color w:val="717171"/>
                          <w:sz w:val="14"/>
                          <w:szCs w:val="14"/>
                        </w:rPr>
                      </w:pPr>
                      <w:r>
                        <w:rPr>
                          <w:rStyle w:val="CharacterStyle1"/>
                          <w:rFonts w:ascii="Verdana" w:hAnsi="Verdana" w:cs="Verdana"/>
                          <w:color w:val="717171"/>
                          <w:sz w:val="14"/>
                          <w:szCs w:val="14"/>
                        </w:rPr>
                        <w:t>6/7</w:t>
                      </w:r>
                    </w:p>
                  </w:txbxContent>
                </v:textbox>
                <w10:wrap type="square"/>
              </v:shape>
            </w:pict>
          </mc:Fallback>
        </mc:AlternateContent>
      </w:r>
      <w:r w:rsidRPr="00182A00">
        <w:rPr>
          <w:rFonts w:eastAsia="Arial Unicode MS" w:cs="Times New Roman"/>
          <w:szCs w:val="20"/>
          <w:lang w:eastAsia="fr-FR"/>
        </w:rPr>
        <w:t>En ce qui concerne les informations à fournir dans l'annexe, le règlement de l'ANC prévoit de fournir</w:t>
      </w:r>
      <w:r>
        <w:rPr>
          <w:rFonts w:eastAsia="Arial Unicode MS" w:cs="Times New Roman"/>
          <w:szCs w:val="20"/>
          <w:lang w:eastAsia="fr-FR"/>
        </w:rPr>
        <w:t> </w:t>
      </w:r>
      <w:r w:rsidRPr="00182A00">
        <w:rPr>
          <w:rFonts w:eastAsia="Arial Unicode MS" w:cs="Times New Roman"/>
          <w:szCs w:val="20"/>
          <w:lang w:eastAsia="fr-FR"/>
        </w:rPr>
        <w:t>:</w:t>
      </w:r>
    </w:p>
    <w:p w:rsidR="009B0114" w:rsidRPr="003426BA" w:rsidRDefault="009B0114" w:rsidP="009B0114">
      <w:pPr>
        <w:pStyle w:val="CACCorps"/>
        <w:numPr>
          <w:ilvl w:val="0"/>
          <w:numId w:val="40"/>
        </w:numPr>
        <w:rPr>
          <w:rFonts w:eastAsia="Arial Unicode MS" w:cs="Times New Roman"/>
          <w:b/>
          <w:szCs w:val="20"/>
          <w:lang w:eastAsia="fr-FR"/>
        </w:rPr>
      </w:pPr>
      <w:r w:rsidRPr="003426BA">
        <w:rPr>
          <w:rFonts w:eastAsia="Arial Unicode MS" w:cs="Times New Roman"/>
          <w:b/>
          <w:szCs w:val="20"/>
          <w:lang w:eastAsia="fr-FR"/>
        </w:rPr>
        <w:t>une information sur les règles d'établissement et de présentation des comptes consolidés précisant que:</w:t>
      </w:r>
    </w:p>
    <w:p w:rsidR="009B0114" w:rsidRPr="003426BA" w:rsidRDefault="009B0114" w:rsidP="009B0114">
      <w:pPr>
        <w:pStyle w:val="CACCorps"/>
        <w:numPr>
          <w:ilvl w:val="0"/>
          <w:numId w:val="40"/>
        </w:numPr>
        <w:rPr>
          <w:rFonts w:eastAsia="Arial Unicode MS" w:cs="Times New Roman"/>
          <w:b/>
          <w:szCs w:val="20"/>
          <w:lang w:eastAsia="fr-FR"/>
        </w:rPr>
      </w:pPr>
      <w:r w:rsidRPr="003426BA">
        <w:rPr>
          <w:rFonts w:eastAsia="Arial Unicode MS" w:cs="Times New Roman"/>
          <w:b/>
          <w:szCs w:val="20"/>
          <w:lang w:eastAsia="fr-FR"/>
        </w:rPr>
        <w:t xml:space="preserve">les comptes annuels consolidés de l'exercice N ont été préparés selon le règlement du CRC n°99-02 alors que les comptes annuels consolidés de l'exercice précédent avaient été établis selon les normes internationales adoptées par règlement de </w:t>
      </w:r>
      <w:smartTag w:uri="urn:schemas-microsoft-com:office:smarttags" w:element="PersonName">
        <w:smartTagPr>
          <w:attr w:name="ProductID" w:val="la Commission"/>
        </w:smartTagPr>
        <w:r w:rsidRPr="003426BA">
          <w:rPr>
            <w:rFonts w:eastAsia="Arial Unicode MS" w:cs="Times New Roman"/>
            <w:b/>
            <w:szCs w:val="20"/>
            <w:lang w:eastAsia="fr-FR"/>
          </w:rPr>
          <w:t>la Commission</w:t>
        </w:r>
      </w:smartTag>
      <w:r w:rsidRPr="003426BA">
        <w:rPr>
          <w:rFonts w:eastAsia="Arial Unicode MS" w:cs="Times New Roman"/>
          <w:b/>
          <w:szCs w:val="20"/>
          <w:lang w:eastAsia="fr-FR"/>
        </w:rPr>
        <w:t xml:space="preserve"> européenne ;</w:t>
      </w:r>
    </w:p>
    <w:p w:rsidR="009B0114" w:rsidRPr="003426BA" w:rsidRDefault="009B0114" w:rsidP="009B0114">
      <w:pPr>
        <w:pStyle w:val="CACCorps"/>
        <w:numPr>
          <w:ilvl w:val="0"/>
          <w:numId w:val="40"/>
        </w:numPr>
        <w:rPr>
          <w:rFonts w:eastAsia="Arial Unicode MS" w:cs="Times New Roman"/>
          <w:b/>
          <w:szCs w:val="20"/>
          <w:lang w:eastAsia="fr-FR"/>
        </w:rPr>
      </w:pPr>
      <w:r w:rsidRPr="003426BA">
        <w:rPr>
          <w:rFonts w:eastAsia="Arial Unicode MS" w:cs="Times New Roman"/>
          <w:b/>
          <w:szCs w:val="20"/>
          <w:lang w:eastAsia="fr-FR"/>
        </w:rPr>
        <w:t>le bilan et le compte de résultat de l'exercice N-1 ont été retraités selon les dispositions du règlement du CRC n°99-02 ;</w:t>
      </w:r>
    </w:p>
    <w:p w:rsidR="009B0114" w:rsidRPr="003426BA" w:rsidRDefault="009B0114" w:rsidP="009B0114">
      <w:pPr>
        <w:pStyle w:val="CACCorps"/>
        <w:numPr>
          <w:ilvl w:val="0"/>
          <w:numId w:val="40"/>
        </w:numPr>
        <w:rPr>
          <w:rFonts w:eastAsia="Arial Unicode MS" w:cs="Times New Roman"/>
          <w:b/>
          <w:szCs w:val="20"/>
          <w:lang w:eastAsia="fr-FR"/>
        </w:rPr>
      </w:pPr>
      <w:r w:rsidRPr="003426BA">
        <w:rPr>
          <w:rFonts w:eastAsia="Arial Unicode MS" w:cs="Times New Roman"/>
          <w:b/>
          <w:szCs w:val="20"/>
          <w:lang w:eastAsia="fr-FR"/>
        </w:rPr>
        <w:t xml:space="preserve">la nature des changements comptables significatifs ainsi que leurs impacts financiers en termes de méthodes de comptabilisation, d'évaluation et de présentation des comptes annuels consolidés ; </w:t>
      </w:r>
    </w:p>
    <w:p w:rsidR="009B0114" w:rsidRPr="003426BA" w:rsidRDefault="009B0114" w:rsidP="009B0114">
      <w:pPr>
        <w:pStyle w:val="CACCorps"/>
        <w:numPr>
          <w:ilvl w:val="0"/>
          <w:numId w:val="40"/>
        </w:numPr>
        <w:rPr>
          <w:rFonts w:eastAsia="Arial Unicode MS" w:cs="Times New Roman"/>
          <w:b/>
          <w:szCs w:val="20"/>
          <w:lang w:eastAsia="fr-FR"/>
        </w:rPr>
      </w:pPr>
      <w:r w:rsidRPr="003426BA">
        <w:rPr>
          <w:rFonts w:eastAsia="Arial Unicode MS" w:cs="Times New Roman"/>
          <w:b/>
          <w:szCs w:val="20"/>
          <w:lang w:eastAsia="fr-FR"/>
        </w:rPr>
        <w:t xml:space="preserve">des états de passage entre le bilan et le compte de résultat consolidés établis selon les normes internationales adoptées par règlement de </w:t>
      </w:r>
      <w:smartTag w:uri="urn:schemas-microsoft-com:office:smarttags" w:element="PersonName">
        <w:smartTagPr>
          <w:attr w:name="ProductID" w:val="la Commission"/>
        </w:smartTagPr>
        <w:r w:rsidRPr="003426BA">
          <w:rPr>
            <w:rFonts w:eastAsia="Arial Unicode MS" w:cs="Times New Roman"/>
            <w:b/>
            <w:szCs w:val="20"/>
            <w:lang w:eastAsia="fr-FR"/>
          </w:rPr>
          <w:t>la Commission</w:t>
        </w:r>
      </w:smartTag>
      <w:r w:rsidRPr="003426BA">
        <w:rPr>
          <w:rFonts w:eastAsia="Arial Unicode MS" w:cs="Times New Roman"/>
          <w:b/>
          <w:szCs w:val="20"/>
          <w:lang w:eastAsia="fr-FR"/>
        </w:rPr>
        <w:t xml:space="preserve"> européenne au titre de l'exercice N-1 et le bilan et le compte de résultat consolidés présentés selon le règlement du CRC n°99-02 pour la même période ;</w:t>
      </w:r>
    </w:p>
    <w:p w:rsidR="009B0114" w:rsidRPr="003426BA" w:rsidRDefault="009B0114" w:rsidP="009B0114">
      <w:pPr>
        <w:pStyle w:val="CACCorps"/>
        <w:numPr>
          <w:ilvl w:val="0"/>
          <w:numId w:val="40"/>
        </w:numPr>
        <w:rPr>
          <w:rFonts w:eastAsia="Arial Unicode MS" w:cs="Times New Roman"/>
          <w:b/>
          <w:szCs w:val="20"/>
          <w:lang w:eastAsia="fr-FR"/>
        </w:rPr>
      </w:pPr>
      <w:r w:rsidRPr="003426BA">
        <w:rPr>
          <w:rFonts w:eastAsia="Arial Unicode MS" w:cs="Times New Roman"/>
          <w:b/>
          <w:szCs w:val="20"/>
          <w:lang w:eastAsia="fr-FR"/>
        </w:rPr>
        <w:t xml:space="preserve">un état de rapprochement entre les capitaux propres consolidés présentés selon les normes internationales adoptées par règlement de </w:t>
      </w:r>
      <w:smartTag w:uri="urn:schemas-microsoft-com:office:smarttags" w:element="PersonName">
        <w:smartTagPr>
          <w:attr w:name="ProductID" w:val="la Commission"/>
        </w:smartTagPr>
        <w:r w:rsidRPr="003426BA">
          <w:rPr>
            <w:rFonts w:eastAsia="Arial Unicode MS" w:cs="Times New Roman"/>
            <w:b/>
            <w:szCs w:val="20"/>
            <w:lang w:eastAsia="fr-FR"/>
          </w:rPr>
          <w:t>la Commission</w:t>
        </w:r>
      </w:smartTag>
      <w:r w:rsidRPr="003426BA">
        <w:rPr>
          <w:rFonts w:eastAsia="Arial Unicode MS" w:cs="Times New Roman"/>
          <w:b/>
          <w:szCs w:val="20"/>
          <w:lang w:eastAsia="fr-FR"/>
        </w:rPr>
        <w:t xml:space="preserve"> européenne et les capitaux propres consolidés présentés selon le règlement du CRC n°99-02 à la date d'ouverture et à la date de clôture de l'exercice N-1 ;</w:t>
      </w:r>
    </w:p>
    <w:p w:rsidR="009B0114" w:rsidRPr="003426BA" w:rsidRDefault="009B0114" w:rsidP="009B0114">
      <w:pPr>
        <w:pStyle w:val="CACCorps"/>
        <w:numPr>
          <w:ilvl w:val="0"/>
          <w:numId w:val="40"/>
        </w:numPr>
        <w:rPr>
          <w:rFonts w:eastAsia="Arial Unicode MS" w:cs="Times New Roman"/>
          <w:b/>
          <w:szCs w:val="20"/>
          <w:lang w:eastAsia="fr-FR"/>
        </w:rPr>
      </w:pPr>
      <w:r w:rsidRPr="003426BA">
        <w:rPr>
          <w:rFonts w:eastAsia="Arial Unicode MS" w:cs="Times New Roman"/>
          <w:b/>
          <w:szCs w:val="20"/>
          <w:lang w:eastAsia="fr-FR"/>
        </w:rPr>
        <w:t xml:space="preserve">un état de rapprochement entre le résultat de l'exercice N-1 établi selon les normes internationales adoptées par règlement de </w:t>
      </w:r>
      <w:smartTag w:uri="urn:schemas-microsoft-com:office:smarttags" w:element="PersonName">
        <w:smartTagPr>
          <w:attr w:name="ProductID" w:val="la Commission"/>
        </w:smartTagPr>
        <w:r w:rsidRPr="003426BA">
          <w:rPr>
            <w:rFonts w:eastAsia="Arial Unicode MS" w:cs="Times New Roman"/>
            <w:b/>
            <w:szCs w:val="20"/>
            <w:lang w:eastAsia="fr-FR"/>
          </w:rPr>
          <w:t>la Commission</w:t>
        </w:r>
      </w:smartTag>
      <w:r w:rsidRPr="003426BA">
        <w:rPr>
          <w:rFonts w:eastAsia="Arial Unicode MS" w:cs="Times New Roman"/>
          <w:b/>
          <w:szCs w:val="20"/>
          <w:lang w:eastAsia="fr-FR"/>
        </w:rPr>
        <w:t xml:space="preserve"> européenne et le résultat N-1 retraité selon le règlement le règlement du CRC n°99-02.</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Les informations supplémentaires suivantes doivent être fournies dans l'annexe des premiers comptes annuels consolidés établis selon le règlement du CRC n° 99-02 :</w:t>
      </w:r>
    </w:p>
    <w:p w:rsidR="009B0114" w:rsidRPr="00182A00" w:rsidRDefault="009B0114" w:rsidP="009B0114">
      <w:pPr>
        <w:pStyle w:val="CACCorps"/>
        <w:numPr>
          <w:ilvl w:val="0"/>
          <w:numId w:val="41"/>
        </w:numPr>
        <w:rPr>
          <w:rFonts w:eastAsia="Arial Unicode MS" w:cs="Times New Roman"/>
          <w:szCs w:val="20"/>
          <w:lang w:eastAsia="fr-FR"/>
        </w:rPr>
      </w:pPr>
      <w:r w:rsidRPr="00182A00">
        <w:rPr>
          <w:rFonts w:eastAsia="Arial Unicode MS" w:cs="Times New Roman"/>
          <w:szCs w:val="20"/>
          <w:lang w:eastAsia="fr-FR"/>
        </w:rPr>
        <w:t>mention précisant que les comptes annuels consolidés de l'exercice ont été préparés selon le règlement du CRC n° 99-02 alors que les comptes annuels consolidés de l'exercice précédent avaient été établis selon les normes IFRS telles qu'adoptées dans l'Union européenne ; indication que ces comptes ont été retraités conformément au règlement du CRC n° 99-02 pour des raisons de comparabilité ;</w:t>
      </w:r>
    </w:p>
    <w:p w:rsidR="009B0114" w:rsidRPr="00182A00" w:rsidRDefault="009B0114" w:rsidP="009B0114">
      <w:pPr>
        <w:pStyle w:val="CACCorps"/>
        <w:numPr>
          <w:ilvl w:val="0"/>
          <w:numId w:val="41"/>
        </w:numPr>
        <w:rPr>
          <w:rFonts w:eastAsia="Arial Unicode MS" w:cs="Times New Roman"/>
          <w:szCs w:val="20"/>
          <w:lang w:eastAsia="fr-FR"/>
        </w:rPr>
      </w:pPr>
      <w:r w:rsidRPr="00182A00">
        <w:rPr>
          <w:rFonts w:eastAsia="Arial Unicode MS" w:cs="Times New Roman"/>
          <w:szCs w:val="20"/>
          <w:lang w:eastAsia="fr-FR"/>
        </w:rPr>
        <w:t>une description de la nature des changements comptables significatifs ainsi que de leurs impacts financiers en termes de méthodes de comptabilisation, d'évaluation et de présentation des comptes annuels consolidés ;</w:t>
      </w:r>
    </w:p>
    <w:p w:rsidR="009B0114" w:rsidRPr="00182A00" w:rsidRDefault="009B0114" w:rsidP="009B0114">
      <w:pPr>
        <w:pStyle w:val="CACCorps"/>
        <w:numPr>
          <w:ilvl w:val="0"/>
          <w:numId w:val="41"/>
        </w:numPr>
        <w:rPr>
          <w:rFonts w:eastAsia="Arial Unicode MS" w:cs="Times New Roman"/>
          <w:szCs w:val="20"/>
          <w:lang w:eastAsia="fr-FR"/>
        </w:rPr>
      </w:pPr>
      <w:r w:rsidRPr="00182A00">
        <w:rPr>
          <w:rFonts w:eastAsia="Arial Unicode MS" w:cs="Times New Roman"/>
          <w:szCs w:val="20"/>
          <w:lang w:eastAsia="fr-FR"/>
        </w:rPr>
        <w:t>des états de passage entre le bilan et le compte de résultat consolidés établis pour les derniers états financiers annuels consolidés de l'entité présentés selon les normes IFRS et le bilan et le compte de résultat consolidés établis selon le règlement du CRC n° 99-02 pour la même période. Ces états doivent être suffisamment détaillés pour permettre aux utilisateurs de comprendre les impacts financiers du changement de règles comptables sur le bilan et le compte de résultat ;</w:t>
      </w:r>
    </w:p>
    <w:p w:rsidR="009B0114" w:rsidRPr="00182A00" w:rsidRDefault="009B0114" w:rsidP="009B0114">
      <w:pPr>
        <w:pStyle w:val="CACCorps"/>
        <w:numPr>
          <w:ilvl w:val="0"/>
          <w:numId w:val="41"/>
        </w:numPr>
        <w:rPr>
          <w:rFonts w:eastAsia="Arial Unicode MS" w:cs="Times New Roman"/>
          <w:szCs w:val="20"/>
          <w:lang w:eastAsia="fr-FR"/>
        </w:rPr>
      </w:pPr>
      <w:r w:rsidRPr="00182A00">
        <w:rPr>
          <w:rFonts w:eastAsia="Arial Unicode MS" w:cs="Times New Roman"/>
          <w:szCs w:val="20"/>
          <w:lang w:eastAsia="fr-FR"/>
        </w:rPr>
        <w:t xml:space="preserve">un rapprochement entre les capitaux propres consolidés présentés selon les normes IFRS et les capitaux propres consolidés présentés selon le règlement du CRC n° 99-02 à la date </w:t>
      </w:r>
      <w:r w:rsidRPr="00182A00">
        <w:rPr>
          <w:rFonts w:eastAsia="Arial Unicode MS" w:cs="Times New Roman"/>
          <w:szCs w:val="20"/>
          <w:lang w:eastAsia="fr-FR"/>
        </w:rPr>
        <w:lastRenderedPageBreak/>
        <w:t>d'ouverture et à la date de clôture de l'exercice N-</w:t>
      </w:r>
      <w:proofErr w:type="gramStart"/>
      <w:r w:rsidRPr="00182A00">
        <w:rPr>
          <w:rFonts w:eastAsia="Arial Unicode MS" w:cs="Times New Roman"/>
          <w:szCs w:val="20"/>
          <w:lang w:eastAsia="fr-FR"/>
        </w:rPr>
        <w:t>1 .</w:t>
      </w:r>
      <w:proofErr w:type="gramEnd"/>
      <w:r w:rsidRPr="00182A00">
        <w:rPr>
          <w:rFonts w:eastAsia="Arial Unicode MS" w:cs="Times New Roman"/>
          <w:szCs w:val="20"/>
          <w:lang w:eastAsia="fr-FR"/>
        </w:rPr>
        <w:t xml:space="preserve"> Ce rapprochement doit être suffisamment détaillé pour permettre aux utilisateurs de comprendre les impacts financiers du changement de référentiel ;</w:t>
      </w:r>
    </w:p>
    <w:p w:rsidR="009B0114" w:rsidRPr="00182A00" w:rsidRDefault="009B0114" w:rsidP="009B0114">
      <w:pPr>
        <w:pStyle w:val="CACCorps"/>
        <w:numPr>
          <w:ilvl w:val="0"/>
          <w:numId w:val="41"/>
        </w:numPr>
        <w:rPr>
          <w:rFonts w:eastAsia="Arial Unicode MS" w:cs="Times New Roman"/>
          <w:szCs w:val="20"/>
          <w:lang w:eastAsia="fr-FR"/>
        </w:rPr>
      </w:pPr>
      <w:r w:rsidRPr="00182A00">
        <w:rPr>
          <w:rFonts w:eastAsia="Arial Unicode MS" w:cs="Times New Roman"/>
          <w:szCs w:val="20"/>
          <w:lang w:eastAsia="fr-FR"/>
        </w:rPr>
        <w:t>un rapprochement entre le résultat consolidé établi selon les normes IFRS et le résultat consolidé retraité selon le règlement du CRC n° 99-02 de l'exercice N-1. Ce rapprochement doit être suffisamment détaillé pour permettre aux utilisateurs de comprendre les impacts financiers du changement de référentiel.</w:t>
      </w:r>
    </w:p>
    <w:p w:rsidR="009B0114" w:rsidRPr="00182A00" w:rsidRDefault="009B0114" w:rsidP="009B0114">
      <w:pPr>
        <w:pStyle w:val="CACCorps"/>
        <w:numPr>
          <w:ilvl w:val="0"/>
          <w:numId w:val="41"/>
        </w:numPr>
        <w:rPr>
          <w:rFonts w:eastAsia="Arial Unicode MS" w:cs="Times New Roman"/>
          <w:szCs w:val="20"/>
          <w:lang w:eastAsia="fr-FR"/>
        </w:rPr>
      </w:pPr>
      <w:r w:rsidRPr="00182A00">
        <w:rPr>
          <w:rFonts w:eastAsia="Arial Unicode MS" w:cs="Times New Roman"/>
          <w:szCs w:val="20"/>
          <w:lang w:eastAsia="fr-FR"/>
        </w:rPr>
        <w:t>Un rapprochement entre le tableau des flux de trésorerie consolidé établi pour les derniers états financiers annuels consolidés de l'entité présentés selon les normes IFRS et le tableau des flux de trésorerie consolidé établi selon le règlement du CRC n° 99-02 pour la même période n'est pas requis ; néanmoins, si des différences significatives étaient constatées lors de l'élaboration du tableau des flux de trésorerie consolidé présenté selon le règlement du CRC n° 99-02, il conviendrait de les mentionner en complément du tableau présenté.</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Des exemples relatifs à la présentation et à la nature des informations à fournir en annexe sont mentionnés au paragraphe 7</w:t>
      </w:r>
    </w:p>
    <w:p w:rsidR="009B0114" w:rsidRPr="00182A00" w:rsidRDefault="009B0114" w:rsidP="009B0114">
      <w:pPr>
        <w:pStyle w:val="CACCorps"/>
        <w:rPr>
          <w:rFonts w:eastAsia="Arial Unicode MS" w:cs="Times New Roman"/>
          <w:szCs w:val="20"/>
          <w:lang w:eastAsia="fr-FR"/>
        </w:rPr>
      </w:pPr>
    </w:p>
    <w:p w:rsidR="009B0114" w:rsidRPr="003426BA" w:rsidRDefault="009B0114" w:rsidP="009B0114">
      <w:pPr>
        <w:pStyle w:val="CACCorps"/>
        <w:rPr>
          <w:rFonts w:eastAsia="Arial Unicode MS" w:cs="Times New Roman"/>
          <w:szCs w:val="20"/>
          <w:u w:val="single"/>
          <w:lang w:eastAsia="fr-FR"/>
        </w:rPr>
      </w:pPr>
      <w:bookmarkStart w:id="66" w:name="_Toc291776993"/>
      <w:r w:rsidRPr="003426BA">
        <w:rPr>
          <w:rFonts w:eastAsia="Arial Unicode MS" w:cs="Times New Roman"/>
          <w:szCs w:val="20"/>
          <w:u w:val="single"/>
          <w:lang w:eastAsia="fr-FR"/>
        </w:rPr>
        <w:t>Les méthodes comptables à appliquer</w:t>
      </w:r>
      <w:bookmarkEnd w:id="66"/>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Les sociétés concernées par le transfert entre les deux marchés doivent utiliser les règles et méthodes comptables en vigueur à la date de clôture de l'exercice du changement.</w:t>
      </w:r>
    </w:p>
    <w:p w:rsidR="009B0114" w:rsidRPr="003426BA" w:rsidRDefault="009B0114" w:rsidP="009B0114">
      <w:pPr>
        <w:pStyle w:val="CACCorps"/>
        <w:rPr>
          <w:rFonts w:eastAsia="Arial Unicode MS" w:cs="Times New Roman"/>
          <w:b/>
          <w:szCs w:val="20"/>
          <w:lang w:eastAsia="fr-FR"/>
        </w:rPr>
      </w:pPr>
      <w:r w:rsidRPr="003426BA">
        <w:rPr>
          <w:rFonts w:eastAsia="Arial Unicode MS" w:cs="Times New Roman"/>
          <w:b/>
          <w:szCs w:val="20"/>
          <w:lang w:eastAsia="fr-FR"/>
        </w:rPr>
        <w:t>Les ajustements en résultant sont comptabilisés en capitaux propres dans le bilan d'ouverture de l'exercice précédant celui du changement de référentiel.</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Toutefois, dans les cas où l'estimation de l'effet à l'ouverture ne peut être faite de façon objective, en particulier lorsque le règlement du CRC n° 99-02 requiert l'application d'une méthode caractérisée par la prise en compte d'hypothèses, la nouvelle méthode sera appliquée à compter de la date d'ouverture de l'exercice du changement.</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3426BA">
        <w:rPr>
          <w:rFonts w:eastAsia="Arial Unicode MS" w:cs="Times New Roman"/>
          <w:szCs w:val="20"/>
          <w:u w:val="single"/>
          <w:lang w:eastAsia="fr-FR"/>
        </w:rPr>
        <w:t>Exemple:</w:t>
      </w:r>
      <w:r w:rsidRPr="00182A00">
        <w:rPr>
          <w:rFonts w:eastAsia="Arial Unicode MS" w:cs="Times New Roman"/>
          <w:szCs w:val="20"/>
          <w:lang w:eastAsia="fr-FR"/>
        </w:rPr>
        <w:t xml:space="preserve"> les sociétés qui ont opté pour la comptabilisation des écarts actuariels relatifs à des engagements de retraite et avantages similaires immédiatement et en totalité en capitaux propres conformément à l'option de la norme </w:t>
      </w:r>
      <w:r>
        <w:rPr>
          <w:rFonts w:eastAsia="Arial Unicode MS" w:cs="Times New Roman"/>
          <w:szCs w:val="20"/>
          <w:lang w:eastAsia="fr-FR"/>
        </w:rPr>
        <w:t>I</w:t>
      </w:r>
      <w:r w:rsidRPr="00182A00">
        <w:rPr>
          <w:rFonts w:eastAsia="Arial Unicode MS" w:cs="Times New Roman"/>
          <w:szCs w:val="20"/>
          <w:lang w:eastAsia="fr-FR"/>
        </w:rPr>
        <w:t xml:space="preserve">AS 19 appelée option </w:t>
      </w:r>
      <w:proofErr w:type="spellStart"/>
      <w:r w:rsidRPr="00182A00">
        <w:rPr>
          <w:rFonts w:eastAsia="Arial Unicode MS" w:cs="Times New Roman"/>
          <w:szCs w:val="20"/>
          <w:lang w:eastAsia="fr-FR"/>
        </w:rPr>
        <w:t>SoRIE</w:t>
      </w:r>
      <w:proofErr w:type="spellEnd"/>
      <w:r w:rsidRPr="00182A00">
        <w:rPr>
          <w:rFonts w:eastAsia="Arial Unicode MS" w:cs="Times New Roman"/>
          <w:szCs w:val="20"/>
          <w:lang w:eastAsia="fr-FR"/>
        </w:rPr>
        <w:t xml:space="preserve"> ne peuvent plus maintenir ce traitement comptable puisque cette méthode n'est pas autorisée par le règlement du CRC n° 99-02. Compte tenu de l'impossibilité dans certains cas de reconstituer un corridor historique, le groupe amortira désormais par le compte de résultat ses écarts actuariels selon la méthode du corridor à compter de la date d'ouverture de l'exercice du changement.</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En conclusion, le retraitement rétrospectif constitue une règle simple et présente en outre l'avantage de pouvoir être appliquée de façon permanente sans qu'il soit nécessaire d'effectuer des modifications au vu de l'évolution</w:t>
      </w:r>
      <w:r>
        <w:rPr>
          <w:rFonts w:eastAsia="Arial Unicode MS" w:cs="Times New Roman"/>
          <w:szCs w:val="20"/>
          <w:lang w:eastAsia="fr-FR"/>
        </w:rPr>
        <w:t xml:space="preserve"> des normes tant nationales qu'</w:t>
      </w:r>
      <w:r w:rsidRPr="00182A00">
        <w:rPr>
          <w:rFonts w:eastAsia="Arial Unicode MS" w:cs="Times New Roman"/>
          <w:szCs w:val="20"/>
          <w:lang w:eastAsia="fr-FR"/>
        </w:rPr>
        <w:t>internationales</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L'ANC recommande aux sociétés choisissant d'établir leurs comptes selon le référentiel français CRC n°99-02, d'appliquer les méthodes préférentielles prévues au paragraphe 300 du règlement CRC n°99-02 et par le règlement CRC n°2004-06, en vue d'améliorer la comparabilité des comptes entre sociétés et de fournir une information de meilleure qualité.</w:t>
      </w: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Pour mémoire, ces méthodes traitent de la comptabilisation :</w:t>
      </w:r>
    </w:p>
    <w:p w:rsidR="009B0114" w:rsidRDefault="009B0114" w:rsidP="009B0114">
      <w:pPr>
        <w:pStyle w:val="CACCorps"/>
        <w:rPr>
          <w:rFonts w:eastAsia="Arial Unicode MS" w:cs="Times New Roman"/>
          <w:szCs w:val="20"/>
          <w:lang w:eastAsia="fr-FR"/>
        </w:rPr>
      </w:pPr>
    </w:p>
    <w:tbl>
      <w:tblPr>
        <w:tblW w:w="907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35"/>
        <w:gridCol w:w="4637"/>
      </w:tblGrid>
      <w:tr w:rsidR="009B0114" w:rsidRPr="001A3328" w:rsidTr="00B17386">
        <w:trPr>
          <w:trHeight w:hRule="exact" w:val="324"/>
          <w:tblHeader/>
        </w:trPr>
        <w:tc>
          <w:tcPr>
            <w:tcW w:w="4435" w:type="dxa"/>
            <w:shd w:val="clear" w:color="auto" w:fill="666666" w:themeFill="text2"/>
            <w:vAlign w:val="center"/>
          </w:tcPr>
          <w:p w:rsidR="009B0114" w:rsidRPr="001A3328" w:rsidRDefault="009B0114" w:rsidP="00B17386">
            <w:pPr>
              <w:pStyle w:val="Style10"/>
              <w:kinsoku w:val="0"/>
              <w:autoSpaceDE/>
              <w:autoSpaceDN/>
              <w:adjustRightInd/>
              <w:jc w:val="center"/>
              <w:rPr>
                <w:rStyle w:val="CharacterStyle2"/>
                <w:rFonts w:ascii="Calibri" w:eastAsiaTheme="majorEastAsia" w:hAnsi="Calibri" w:cs="Calibri"/>
                <w:b/>
                <w:color w:val="FFFFFF" w:themeColor="background1"/>
                <w:spacing w:val="4"/>
                <w:sz w:val="22"/>
                <w:szCs w:val="22"/>
              </w:rPr>
            </w:pPr>
            <w:r w:rsidRPr="001A3328">
              <w:rPr>
                <w:rStyle w:val="CharacterStyle2"/>
                <w:rFonts w:ascii="Calibri" w:eastAsiaTheme="majorEastAsia" w:hAnsi="Calibri" w:cs="Calibri"/>
                <w:b/>
                <w:color w:val="FFFFFF" w:themeColor="background1"/>
                <w:spacing w:val="4"/>
                <w:sz w:val="22"/>
                <w:szCs w:val="22"/>
              </w:rPr>
              <w:t>Méthodes préférentielles</w:t>
            </w:r>
          </w:p>
        </w:tc>
        <w:tc>
          <w:tcPr>
            <w:tcW w:w="4637" w:type="dxa"/>
            <w:shd w:val="clear" w:color="auto" w:fill="666666" w:themeFill="text2"/>
          </w:tcPr>
          <w:p w:rsidR="009B0114" w:rsidRPr="001A3328" w:rsidRDefault="009B0114" w:rsidP="00B17386">
            <w:pPr>
              <w:pStyle w:val="Style10"/>
              <w:kinsoku w:val="0"/>
              <w:autoSpaceDE/>
              <w:autoSpaceDN/>
              <w:adjustRightInd/>
              <w:jc w:val="center"/>
              <w:rPr>
                <w:rStyle w:val="CharacterStyle2"/>
                <w:rFonts w:ascii="Calibri" w:eastAsiaTheme="majorEastAsia" w:hAnsi="Calibri" w:cs="Calibri"/>
                <w:b/>
                <w:color w:val="FFFFFF" w:themeColor="background1"/>
                <w:sz w:val="22"/>
                <w:szCs w:val="22"/>
              </w:rPr>
            </w:pPr>
          </w:p>
        </w:tc>
      </w:tr>
      <w:tr w:rsidR="009B0114" w:rsidRPr="001A3328" w:rsidTr="00B17386">
        <w:trPr>
          <w:trHeight w:hRule="exact" w:val="619"/>
        </w:trPr>
        <w:tc>
          <w:tcPr>
            <w:tcW w:w="4435" w:type="dxa"/>
          </w:tcPr>
          <w:p w:rsidR="009B0114" w:rsidRPr="001A3328" w:rsidRDefault="009B0114" w:rsidP="00B17386">
            <w:pPr>
              <w:pStyle w:val="Style20"/>
              <w:kinsoku w:val="0"/>
              <w:autoSpaceDE/>
              <w:autoSpaceDN/>
              <w:ind w:left="72"/>
              <w:rPr>
                <w:rStyle w:val="CharacterStyle1"/>
                <w:rFonts w:ascii="Calibri" w:hAnsi="Calibri" w:cs="Calibri"/>
                <w:spacing w:val="2"/>
                <w:sz w:val="22"/>
                <w:szCs w:val="22"/>
              </w:rPr>
            </w:pPr>
            <w:r w:rsidRPr="001A3328">
              <w:rPr>
                <w:rStyle w:val="CharacterStyle1"/>
                <w:rFonts w:ascii="Calibri" w:hAnsi="Calibri" w:cs="Calibri"/>
                <w:spacing w:val="2"/>
                <w:sz w:val="22"/>
                <w:szCs w:val="22"/>
              </w:rPr>
              <w:t>Coûts des prestations de retraite et  des prestations assimilées</w:t>
            </w:r>
          </w:p>
        </w:tc>
        <w:tc>
          <w:tcPr>
            <w:tcW w:w="4637" w:type="dxa"/>
          </w:tcPr>
          <w:p w:rsidR="009B0114" w:rsidRPr="001A3328" w:rsidRDefault="009B0114" w:rsidP="00B17386">
            <w:pPr>
              <w:pStyle w:val="Style20"/>
              <w:tabs>
                <w:tab w:val="left" w:pos="1620"/>
                <w:tab w:val="left" w:pos="2205"/>
                <w:tab w:val="left" w:pos="3276"/>
                <w:tab w:val="right" w:pos="4608"/>
              </w:tabs>
              <w:kinsoku w:val="0"/>
              <w:autoSpaceDE/>
              <w:autoSpaceDN/>
              <w:spacing w:before="36" w:line="211" w:lineRule="auto"/>
              <w:ind w:left="51"/>
              <w:rPr>
                <w:rStyle w:val="CharacterStyle1"/>
                <w:rFonts w:ascii="Calibri" w:hAnsi="Calibri" w:cs="Calibri"/>
                <w:sz w:val="22"/>
                <w:szCs w:val="22"/>
              </w:rPr>
            </w:pPr>
            <w:r w:rsidRPr="001A3328">
              <w:rPr>
                <w:rStyle w:val="CharacterStyle1"/>
                <w:rFonts w:ascii="Calibri" w:hAnsi="Calibri" w:cs="Calibri"/>
                <w:sz w:val="22"/>
                <w:szCs w:val="22"/>
              </w:rPr>
              <w:t>Provisionnement de l'ensemble des engagements sur la durée d'activité des salariés</w:t>
            </w:r>
          </w:p>
        </w:tc>
      </w:tr>
      <w:tr w:rsidR="009B0114" w:rsidRPr="001A3328" w:rsidTr="00B17386">
        <w:trPr>
          <w:trHeight w:hRule="exact" w:val="554"/>
        </w:trPr>
        <w:tc>
          <w:tcPr>
            <w:tcW w:w="4435" w:type="dxa"/>
          </w:tcPr>
          <w:p w:rsidR="009B0114" w:rsidRPr="001A3328" w:rsidRDefault="009B0114" w:rsidP="00B17386">
            <w:pPr>
              <w:pStyle w:val="Style20"/>
              <w:kinsoku w:val="0"/>
              <w:autoSpaceDE/>
              <w:autoSpaceDN/>
              <w:ind w:left="72"/>
              <w:rPr>
                <w:rStyle w:val="CharacterStyle1"/>
                <w:rFonts w:ascii="Calibri" w:hAnsi="Calibri" w:cs="Calibri"/>
                <w:spacing w:val="2"/>
                <w:sz w:val="22"/>
                <w:szCs w:val="22"/>
              </w:rPr>
            </w:pPr>
            <w:r w:rsidRPr="001A3328">
              <w:rPr>
                <w:rStyle w:val="CharacterStyle1"/>
                <w:rFonts w:ascii="Calibri" w:hAnsi="Calibri" w:cs="Calibri"/>
                <w:spacing w:val="2"/>
                <w:sz w:val="22"/>
                <w:szCs w:val="22"/>
              </w:rPr>
              <w:lastRenderedPageBreak/>
              <w:t>Contrats de location-financement</w:t>
            </w:r>
          </w:p>
        </w:tc>
        <w:tc>
          <w:tcPr>
            <w:tcW w:w="4637" w:type="dxa"/>
          </w:tcPr>
          <w:p w:rsidR="009B0114" w:rsidRPr="001A3328" w:rsidRDefault="009B0114" w:rsidP="00B17386">
            <w:pPr>
              <w:pStyle w:val="Style20"/>
              <w:tabs>
                <w:tab w:val="left" w:pos="1620"/>
                <w:tab w:val="left" w:pos="2205"/>
                <w:tab w:val="left" w:pos="3276"/>
                <w:tab w:val="right" w:pos="4608"/>
              </w:tabs>
              <w:kinsoku w:val="0"/>
              <w:autoSpaceDE/>
              <w:autoSpaceDN/>
              <w:spacing w:before="36" w:line="211" w:lineRule="auto"/>
              <w:ind w:left="51"/>
              <w:rPr>
                <w:rStyle w:val="CharacterStyle1"/>
                <w:rFonts w:ascii="Calibri" w:hAnsi="Calibri" w:cs="Calibri"/>
                <w:sz w:val="22"/>
                <w:szCs w:val="22"/>
              </w:rPr>
            </w:pPr>
            <w:r w:rsidRPr="001A3328">
              <w:rPr>
                <w:rStyle w:val="CharacterStyle1"/>
                <w:rFonts w:ascii="Calibri" w:hAnsi="Calibri" w:cs="Calibri"/>
                <w:sz w:val="22"/>
                <w:szCs w:val="22"/>
              </w:rPr>
              <w:t>Retraitement des contrats de location</w:t>
            </w:r>
            <w:r w:rsidRPr="001A3328">
              <w:rPr>
                <w:rStyle w:val="CharacterStyle1"/>
                <w:rFonts w:ascii="Calibri" w:hAnsi="Calibri" w:cs="Calibri"/>
                <w:sz w:val="22"/>
                <w:szCs w:val="22"/>
              </w:rPr>
              <w:noBreakHyphen/>
              <w:t>financement</w:t>
            </w:r>
          </w:p>
        </w:tc>
      </w:tr>
      <w:tr w:rsidR="009B0114" w:rsidRPr="001A3328" w:rsidTr="00B17386">
        <w:trPr>
          <w:trHeight w:hRule="exact" w:val="647"/>
        </w:trPr>
        <w:tc>
          <w:tcPr>
            <w:tcW w:w="4435" w:type="dxa"/>
          </w:tcPr>
          <w:p w:rsidR="009B0114" w:rsidRPr="001A3328" w:rsidRDefault="009B0114" w:rsidP="00B17386">
            <w:pPr>
              <w:pStyle w:val="Style20"/>
              <w:kinsoku w:val="0"/>
              <w:autoSpaceDE/>
              <w:autoSpaceDN/>
              <w:ind w:left="72"/>
              <w:rPr>
                <w:rStyle w:val="CharacterStyle1"/>
                <w:rFonts w:ascii="Calibri" w:hAnsi="Calibri" w:cs="Calibri"/>
                <w:spacing w:val="2"/>
                <w:sz w:val="22"/>
                <w:szCs w:val="22"/>
              </w:rPr>
            </w:pPr>
            <w:r w:rsidRPr="001A3328">
              <w:rPr>
                <w:rStyle w:val="CharacterStyle1"/>
                <w:rFonts w:ascii="Calibri" w:hAnsi="Calibri" w:cs="Calibri"/>
                <w:spacing w:val="2"/>
                <w:sz w:val="22"/>
                <w:szCs w:val="22"/>
              </w:rPr>
              <w:t xml:space="preserve">Frais d'émission et primes de remboursement et d'émission </w:t>
            </w:r>
            <w:r w:rsidRPr="001A3328">
              <w:rPr>
                <w:rStyle w:val="CharacterStyle1"/>
                <w:rFonts w:ascii="Calibri" w:hAnsi="Calibri" w:cs="Calibri"/>
                <w:sz w:val="22"/>
                <w:szCs w:val="22"/>
              </w:rPr>
              <w:t xml:space="preserve">d'emprunts </w:t>
            </w:r>
            <w:r w:rsidRPr="001A3328">
              <w:rPr>
                <w:rStyle w:val="CharacterStyle1"/>
                <w:rFonts w:ascii="Calibri" w:hAnsi="Calibri" w:cs="Calibri"/>
                <w:spacing w:val="2"/>
                <w:sz w:val="22"/>
                <w:szCs w:val="22"/>
              </w:rPr>
              <w:t>obligataires</w:t>
            </w:r>
          </w:p>
        </w:tc>
        <w:tc>
          <w:tcPr>
            <w:tcW w:w="4637" w:type="dxa"/>
          </w:tcPr>
          <w:p w:rsidR="009B0114" w:rsidRPr="001A3328" w:rsidRDefault="009B0114" w:rsidP="00B17386">
            <w:pPr>
              <w:pStyle w:val="Style20"/>
              <w:kinsoku w:val="0"/>
              <w:autoSpaceDE/>
              <w:autoSpaceDN/>
              <w:ind w:left="72"/>
              <w:rPr>
                <w:rStyle w:val="CharacterStyle1"/>
                <w:rFonts w:ascii="Calibri" w:hAnsi="Calibri" w:cs="Calibri"/>
                <w:spacing w:val="2"/>
                <w:sz w:val="22"/>
                <w:szCs w:val="22"/>
              </w:rPr>
            </w:pPr>
            <w:r w:rsidRPr="001A3328">
              <w:rPr>
                <w:rStyle w:val="CharacterStyle1"/>
                <w:rFonts w:ascii="Calibri" w:hAnsi="Calibri" w:cs="Calibri"/>
                <w:spacing w:val="2"/>
                <w:sz w:val="22"/>
                <w:szCs w:val="22"/>
              </w:rPr>
              <w:t>Étalement systématique sur la durée de vie de l'emprunt</w:t>
            </w:r>
          </w:p>
        </w:tc>
      </w:tr>
      <w:tr w:rsidR="009B0114" w:rsidRPr="001A3328" w:rsidTr="00B17386">
        <w:trPr>
          <w:trHeight w:hRule="exact" w:val="620"/>
        </w:trPr>
        <w:tc>
          <w:tcPr>
            <w:tcW w:w="4435" w:type="dxa"/>
          </w:tcPr>
          <w:p w:rsidR="009B0114" w:rsidRPr="001A3328" w:rsidRDefault="009B0114" w:rsidP="00B17386">
            <w:pPr>
              <w:pStyle w:val="Style20"/>
              <w:kinsoku w:val="0"/>
              <w:autoSpaceDE/>
              <w:autoSpaceDN/>
              <w:ind w:left="72"/>
              <w:rPr>
                <w:rStyle w:val="CharacterStyle1"/>
                <w:rFonts w:ascii="Calibri" w:hAnsi="Calibri" w:cs="Calibri"/>
                <w:spacing w:val="2"/>
                <w:sz w:val="22"/>
                <w:szCs w:val="22"/>
              </w:rPr>
            </w:pPr>
            <w:r w:rsidRPr="001A3328">
              <w:rPr>
                <w:rStyle w:val="CharacterStyle1"/>
                <w:rFonts w:ascii="Calibri" w:hAnsi="Calibri" w:cs="Calibri"/>
                <w:spacing w:val="2"/>
                <w:sz w:val="22"/>
                <w:szCs w:val="22"/>
              </w:rPr>
              <w:t>Écarts de conversion des actifs et passifs libellés en devises</w:t>
            </w:r>
          </w:p>
        </w:tc>
        <w:tc>
          <w:tcPr>
            <w:tcW w:w="4637" w:type="dxa"/>
          </w:tcPr>
          <w:p w:rsidR="009B0114" w:rsidRPr="001A3328" w:rsidRDefault="009B0114" w:rsidP="00B17386">
            <w:pPr>
              <w:pStyle w:val="Style20"/>
              <w:kinsoku w:val="0"/>
              <w:autoSpaceDE/>
              <w:autoSpaceDN/>
              <w:ind w:left="72"/>
              <w:rPr>
                <w:rStyle w:val="CharacterStyle1"/>
                <w:rFonts w:ascii="Calibri" w:hAnsi="Calibri" w:cs="Calibri"/>
                <w:spacing w:val="2"/>
                <w:sz w:val="22"/>
                <w:szCs w:val="22"/>
              </w:rPr>
            </w:pPr>
            <w:r w:rsidRPr="001A3328">
              <w:rPr>
                <w:rStyle w:val="CharacterStyle1"/>
                <w:rFonts w:ascii="Calibri" w:hAnsi="Calibri" w:cs="Calibri"/>
                <w:spacing w:val="2"/>
                <w:sz w:val="22"/>
                <w:szCs w:val="22"/>
              </w:rPr>
              <w:t>Comptabilisation en résultat au cours de la période à laquelle ils se rapportent</w:t>
            </w:r>
          </w:p>
        </w:tc>
      </w:tr>
      <w:tr w:rsidR="009B0114" w:rsidRPr="001A3328" w:rsidTr="00B17386">
        <w:trPr>
          <w:trHeight w:hRule="exact" w:val="522"/>
        </w:trPr>
        <w:tc>
          <w:tcPr>
            <w:tcW w:w="4435" w:type="dxa"/>
          </w:tcPr>
          <w:p w:rsidR="009B0114" w:rsidRPr="001A3328" w:rsidRDefault="009B0114" w:rsidP="00B17386">
            <w:pPr>
              <w:pStyle w:val="Style20"/>
              <w:kinsoku w:val="0"/>
              <w:autoSpaceDE/>
              <w:autoSpaceDN/>
              <w:ind w:left="72"/>
              <w:rPr>
                <w:rStyle w:val="CharacterStyle1"/>
                <w:rFonts w:ascii="Calibri" w:hAnsi="Calibri" w:cs="Calibri"/>
                <w:spacing w:val="2"/>
                <w:sz w:val="22"/>
                <w:szCs w:val="22"/>
              </w:rPr>
            </w:pPr>
            <w:r w:rsidRPr="001A3328">
              <w:rPr>
                <w:rStyle w:val="CharacterStyle1"/>
                <w:rFonts w:ascii="Calibri" w:hAnsi="Calibri" w:cs="Calibri"/>
                <w:spacing w:val="2"/>
                <w:sz w:val="22"/>
                <w:szCs w:val="22"/>
              </w:rPr>
              <w:t>Opérations partiellement achevées à la clôture</w:t>
            </w:r>
          </w:p>
        </w:tc>
        <w:tc>
          <w:tcPr>
            <w:tcW w:w="4637" w:type="dxa"/>
          </w:tcPr>
          <w:p w:rsidR="009B0114" w:rsidRPr="001A3328" w:rsidRDefault="009B0114" w:rsidP="00B17386">
            <w:pPr>
              <w:pStyle w:val="Style20"/>
              <w:kinsoku w:val="0"/>
              <w:autoSpaceDE/>
              <w:autoSpaceDN/>
              <w:ind w:left="72"/>
              <w:rPr>
                <w:rStyle w:val="CharacterStyle1"/>
                <w:rFonts w:ascii="Calibri" w:hAnsi="Calibri" w:cs="Calibri"/>
                <w:spacing w:val="2"/>
                <w:sz w:val="22"/>
                <w:szCs w:val="22"/>
              </w:rPr>
            </w:pPr>
            <w:r w:rsidRPr="001A3328">
              <w:rPr>
                <w:rStyle w:val="CharacterStyle1"/>
                <w:rFonts w:ascii="Calibri" w:hAnsi="Calibri" w:cs="Calibri"/>
                <w:spacing w:val="2"/>
                <w:sz w:val="22"/>
                <w:szCs w:val="22"/>
              </w:rPr>
              <w:t>Comptabilisation suivant la méthode de l'avancement</w:t>
            </w:r>
          </w:p>
        </w:tc>
      </w:tr>
      <w:tr w:rsidR="009B0114" w:rsidRPr="001A3328" w:rsidTr="00B17386">
        <w:trPr>
          <w:trHeight w:hRule="exact" w:val="317"/>
        </w:trPr>
        <w:tc>
          <w:tcPr>
            <w:tcW w:w="4435" w:type="dxa"/>
            <w:vAlign w:val="center"/>
          </w:tcPr>
          <w:p w:rsidR="009B0114" w:rsidRPr="001A3328" w:rsidRDefault="009B0114" w:rsidP="00B17386">
            <w:pPr>
              <w:pStyle w:val="Style20"/>
              <w:kinsoku w:val="0"/>
              <w:autoSpaceDE/>
              <w:autoSpaceDN/>
              <w:ind w:left="72"/>
              <w:rPr>
                <w:rStyle w:val="CharacterStyle1"/>
                <w:rFonts w:ascii="Calibri" w:hAnsi="Calibri" w:cs="Calibri"/>
                <w:spacing w:val="2"/>
                <w:sz w:val="22"/>
                <w:szCs w:val="22"/>
              </w:rPr>
            </w:pPr>
            <w:r w:rsidRPr="001A3328">
              <w:rPr>
                <w:rStyle w:val="CharacterStyle1"/>
                <w:rFonts w:ascii="Calibri" w:hAnsi="Calibri" w:cs="Calibri"/>
                <w:spacing w:val="2"/>
                <w:sz w:val="22"/>
                <w:szCs w:val="22"/>
              </w:rPr>
              <w:t>Coûts de développement</w:t>
            </w:r>
          </w:p>
        </w:tc>
        <w:tc>
          <w:tcPr>
            <w:tcW w:w="4637" w:type="dxa"/>
            <w:vAlign w:val="center"/>
          </w:tcPr>
          <w:p w:rsidR="009B0114" w:rsidRPr="001A3328" w:rsidRDefault="009B0114" w:rsidP="00B17386">
            <w:pPr>
              <w:pStyle w:val="Style20"/>
              <w:kinsoku w:val="0"/>
              <w:autoSpaceDE/>
              <w:autoSpaceDN/>
              <w:ind w:left="72"/>
              <w:rPr>
                <w:rStyle w:val="CharacterStyle1"/>
                <w:rFonts w:ascii="Calibri" w:hAnsi="Calibri" w:cs="Calibri"/>
                <w:spacing w:val="2"/>
                <w:sz w:val="22"/>
                <w:szCs w:val="22"/>
              </w:rPr>
            </w:pPr>
            <w:r w:rsidRPr="001A3328">
              <w:rPr>
                <w:rStyle w:val="CharacterStyle1"/>
                <w:rFonts w:ascii="Calibri" w:hAnsi="Calibri" w:cs="Calibri"/>
                <w:spacing w:val="2"/>
                <w:sz w:val="22"/>
                <w:szCs w:val="22"/>
              </w:rPr>
              <w:t>Inscription à l'actif</w:t>
            </w:r>
          </w:p>
        </w:tc>
      </w:tr>
      <w:tr w:rsidR="009B0114" w:rsidRPr="001A3328" w:rsidTr="00B17386">
        <w:trPr>
          <w:trHeight w:hRule="exact" w:val="626"/>
        </w:trPr>
        <w:tc>
          <w:tcPr>
            <w:tcW w:w="4435" w:type="dxa"/>
          </w:tcPr>
          <w:p w:rsidR="009B0114" w:rsidRPr="001A3328" w:rsidRDefault="009B0114" w:rsidP="00B17386">
            <w:pPr>
              <w:pStyle w:val="Style20"/>
              <w:kinsoku w:val="0"/>
              <w:autoSpaceDE/>
              <w:autoSpaceDN/>
              <w:ind w:left="72"/>
              <w:rPr>
                <w:rStyle w:val="CharacterStyle1"/>
                <w:rFonts w:ascii="Calibri" w:hAnsi="Calibri" w:cs="Calibri"/>
                <w:spacing w:val="2"/>
                <w:sz w:val="22"/>
                <w:szCs w:val="22"/>
              </w:rPr>
            </w:pPr>
            <w:r w:rsidRPr="001A3328">
              <w:rPr>
                <w:rStyle w:val="CharacterStyle1"/>
                <w:rFonts w:ascii="Calibri" w:hAnsi="Calibri" w:cs="Calibri"/>
                <w:spacing w:val="2"/>
                <w:sz w:val="22"/>
                <w:szCs w:val="22"/>
              </w:rPr>
              <w:t>Frais de constitution, de transformation et de premier établissement</w:t>
            </w:r>
          </w:p>
        </w:tc>
        <w:tc>
          <w:tcPr>
            <w:tcW w:w="4637" w:type="dxa"/>
          </w:tcPr>
          <w:p w:rsidR="009B0114" w:rsidRPr="001A3328" w:rsidRDefault="009B0114" w:rsidP="00B17386">
            <w:pPr>
              <w:pStyle w:val="Style20"/>
              <w:kinsoku w:val="0"/>
              <w:autoSpaceDE/>
              <w:autoSpaceDN/>
              <w:ind w:left="72"/>
              <w:rPr>
                <w:rStyle w:val="CharacterStyle1"/>
                <w:rFonts w:ascii="Calibri" w:hAnsi="Calibri" w:cs="Calibri"/>
                <w:spacing w:val="2"/>
                <w:sz w:val="22"/>
                <w:szCs w:val="22"/>
              </w:rPr>
            </w:pPr>
            <w:r w:rsidRPr="001A3328">
              <w:rPr>
                <w:rStyle w:val="CharacterStyle1"/>
                <w:rFonts w:ascii="Calibri" w:hAnsi="Calibri" w:cs="Calibri"/>
                <w:spacing w:val="2"/>
                <w:sz w:val="22"/>
                <w:szCs w:val="22"/>
              </w:rPr>
              <w:t>Comptabilisation en charges</w:t>
            </w:r>
          </w:p>
        </w:tc>
      </w:tr>
    </w:tbl>
    <w:p w:rsidR="009B0114" w:rsidRDefault="009B0114" w:rsidP="009B0114">
      <w:pPr>
        <w:pStyle w:val="CACCorps"/>
        <w:rPr>
          <w:rFonts w:eastAsia="Arial Unicode MS" w:cs="Times New Roman"/>
          <w:szCs w:val="20"/>
          <w:lang w:eastAsia="fr-FR"/>
        </w:rPr>
      </w:pPr>
    </w:p>
    <w:p w:rsidR="009B0114" w:rsidRPr="00182A00" w:rsidRDefault="009B0114" w:rsidP="009B0114">
      <w:pPr>
        <w:pStyle w:val="CACTitre2"/>
        <w:rPr>
          <w:lang w:eastAsia="fr-FR"/>
        </w:rPr>
      </w:pPr>
      <w:bookmarkStart w:id="67" w:name="_Toc291775726"/>
      <w:bookmarkStart w:id="68" w:name="_Toc291776994"/>
      <w:bookmarkStart w:id="69" w:name="_Toc452390495"/>
      <w:r>
        <w:rPr>
          <w:lang w:eastAsia="fr-FR"/>
        </w:rPr>
        <w:t>DATE ET PUBLICITE DE LA DECISION D’APPLIQUER LE REGLEMENT DU CRC 99</w:t>
      </w:r>
      <w:r>
        <w:rPr>
          <w:lang w:eastAsia="fr-FR"/>
        </w:rPr>
        <w:noBreakHyphen/>
        <w:t>02</w:t>
      </w:r>
      <w:bookmarkEnd w:id="67"/>
      <w:bookmarkEnd w:id="68"/>
      <w:bookmarkEnd w:id="69"/>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En ce qui concerne la date et la publicité de la décision d'établir les comptes consolidés selon le règlement du CRC n° 99-</w:t>
      </w:r>
      <w:smartTag w:uri="urn:schemas-microsoft-com:office:smarttags" w:element="metricconverter">
        <w:smartTagPr>
          <w:attr w:name="ProductID" w:val="02, l"/>
        </w:smartTagPr>
        <w:r w:rsidRPr="00182A00">
          <w:rPr>
            <w:rFonts w:eastAsia="Arial Unicode MS" w:cs="Times New Roman"/>
            <w:szCs w:val="20"/>
            <w:lang w:eastAsia="fr-FR"/>
          </w:rPr>
          <w:t>02, l</w:t>
        </w:r>
      </w:smartTag>
      <w:r w:rsidRPr="00182A00">
        <w:rPr>
          <w:rFonts w:eastAsia="Arial Unicode MS" w:cs="Times New Roman"/>
          <w:szCs w:val="20"/>
          <w:lang w:eastAsia="fr-FR"/>
        </w:rPr>
        <w:t>'ANC recommande de communiquer la décision d'établir ses comptes consolidés selon le règlement du CRC n° 99-02 dès qu'elle est prise suivant les modalités applicables dans le cadre de la régulation des marchés ; d'appliquer cette décision aux comptes de l'exercice suivant celui au cours duquel la décision a été prise.</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La transition vers le référentiel français s'applique aux comptes de l'exercice suivant l'exercice au cours duquel le transfert des titres sur Alternext a été réalisé.</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3426BA">
        <w:rPr>
          <w:rFonts w:eastAsia="Arial Unicode MS" w:cs="Times New Roman"/>
          <w:szCs w:val="20"/>
          <w:u w:val="single"/>
          <w:lang w:eastAsia="fr-FR"/>
        </w:rPr>
        <w:t>Exemple:</w:t>
      </w:r>
      <w:r w:rsidRPr="00182A00">
        <w:rPr>
          <w:rFonts w:eastAsia="Arial Unicode MS" w:cs="Times New Roman"/>
          <w:szCs w:val="20"/>
          <w:lang w:eastAsia="fr-FR"/>
        </w:rPr>
        <w:t xml:space="preserve"> pour une société clôturant ses comptes au 31 décembre, souhaitant abandonner le référentiel IFRS et pour lequel le transfert sur Alternext a été effectif le 15 septembre N, les comptes clos au 31 décembre N seront présentés en IFRS et le référentiel français sera utilisé au titre de l'exercice ouvert à compter du 1er janvier N+1. Cette disposition a l'avantage de permettre l'utilisation d'un seul et unique référentiel comptable tout au long d'un exercice donné.</w:t>
      </w: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Toutefois, si le transfert est effectif le 15 février N+1, le référentiel français pourrait être immédiatement utilisé pour l'exercice N+1. En effet, la société n'ayant pas encore publié de comptes intermédiaires au titre de N+1, la disposition énoncée au précédent paragraphe (utilisation d'un seul et unique référentiel comptable tout au long d'un exercice donné) serait respectée.</w:t>
      </w:r>
    </w:p>
    <w:p w:rsidR="009B0114" w:rsidRPr="00182A00" w:rsidRDefault="009B0114" w:rsidP="009B0114">
      <w:pPr>
        <w:pStyle w:val="CACCorps"/>
        <w:rPr>
          <w:rFonts w:eastAsia="Arial Unicode MS" w:cs="Times New Roman"/>
          <w:szCs w:val="20"/>
          <w:lang w:eastAsia="fr-FR"/>
        </w:rPr>
      </w:pPr>
    </w:p>
    <w:p w:rsidR="009B0114" w:rsidRPr="003426BA" w:rsidRDefault="009B0114" w:rsidP="009B0114">
      <w:pPr>
        <w:pStyle w:val="CACCorps"/>
        <w:rPr>
          <w:rFonts w:eastAsia="Arial Unicode MS" w:cs="Times New Roman"/>
          <w:b/>
          <w:szCs w:val="20"/>
          <w:lang w:eastAsia="fr-FR"/>
        </w:rPr>
      </w:pPr>
      <w:r w:rsidRPr="003426BA">
        <w:rPr>
          <w:rFonts w:eastAsia="Arial Unicode MS" w:cs="Times New Roman"/>
          <w:b/>
          <w:szCs w:val="20"/>
          <w:lang w:eastAsia="fr-FR"/>
        </w:rPr>
        <w:t>Si la société fait le choix de présenter les informations requises au titre de la transition vers le règlement CRC n°99-02 à l'occasion de la publication des comptes clos au 30 juin N+1, et bien que les obligations d'information applicables sur Alternext ne requièrent pas la revue des comptes semestriels par les commissaires aux comptes (examen limité), l'AMF recommande aux sociétés de présenter des éléments de transition ayant fait l'objet d'une revue par leurs commissaires aux comptes. Cela permettra de fiabiliser cette information dès sa publication, sachant qu'elle sera de toute façon comprise dans les comptes clos au 31 décembre N+1 qui feront l'objet d'une certification des commissaires aux comptes</w:t>
      </w:r>
    </w:p>
    <w:p w:rsidR="009B0114" w:rsidRDefault="009B0114" w:rsidP="009B0114">
      <w:pPr>
        <w:pStyle w:val="CACCorps"/>
        <w:rPr>
          <w:rFonts w:eastAsia="Arial Unicode MS" w:cs="Times New Roman"/>
          <w:szCs w:val="20"/>
          <w:lang w:eastAsia="fr-FR"/>
        </w:rPr>
      </w:pPr>
    </w:p>
    <w:p w:rsidR="009B0114" w:rsidRDefault="009B0114">
      <w:pPr>
        <w:jc w:val="left"/>
        <w:rPr>
          <w:rFonts w:eastAsia="Arial Unicode MS" w:cs="Times New Roman"/>
          <w:szCs w:val="20"/>
          <w:lang w:eastAsia="fr-FR"/>
        </w:rPr>
      </w:pPr>
      <w:r>
        <w:rPr>
          <w:rFonts w:eastAsia="Arial Unicode MS" w:cs="Times New Roman"/>
          <w:szCs w:val="20"/>
          <w:lang w:eastAsia="fr-FR"/>
        </w:rPr>
        <w:br w:type="page"/>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Titre2"/>
        <w:rPr>
          <w:lang w:eastAsia="fr-FR"/>
        </w:rPr>
      </w:pPr>
      <w:bookmarkStart w:id="70" w:name="_Toc291775727"/>
      <w:bookmarkStart w:id="71" w:name="_Toc291776995"/>
      <w:bookmarkStart w:id="72" w:name="_Toc452390496"/>
      <w:r>
        <w:rPr>
          <w:lang w:eastAsia="fr-FR"/>
        </w:rPr>
        <w:t>EXEMPLES DE PRESENTATION DE L’INFORMATION A FOURNIR EN ANNEXE POUR EXPLICITER LE CHANGEMENT DE REGLES COMPTABLES</w:t>
      </w:r>
      <w:bookmarkEnd w:id="70"/>
      <w:bookmarkEnd w:id="71"/>
      <w:bookmarkEnd w:id="72"/>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Les exemples ci-dessous, proposés par l'ANC, ont été élaborés pour une première application du règlement n° 99-</w:t>
      </w:r>
      <w:r w:rsidRPr="00182A00">
        <w:rPr>
          <w:rFonts w:eastAsia="Arial Unicode MS" w:cs="Times New Roman"/>
          <w:szCs w:val="20"/>
          <w:lang w:eastAsia="fr-FR"/>
        </w:rPr>
        <w:softHyphen/>
        <w:t>02 au titre de l'exercice N. Ils sont fournis à titre indicatif et devront être adaptés au cas de particulier de chaque entreprise.</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Titre3"/>
        <w:rPr>
          <w:lang w:eastAsia="fr-FR"/>
        </w:rPr>
      </w:pPr>
      <w:bookmarkStart w:id="73" w:name="_Toc291776996"/>
      <w:bookmarkStart w:id="74" w:name="_Toc452390497"/>
      <w:r w:rsidRPr="00182A00">
        <w:rPr>
          <w:lang w:eastAsia="fr-FR"/>
        </w:rPr>
        <w:t>Tableau de retraitement du bilan à la date de clôture de l'exercice N-1:</w:t>
      </w:r>
      <w:bookmarkEnd w:id="73"/>
      <w:bookmarkEnd w:id="74"/>
    </w:p>
    <w:p w:rsidR="009B0114" w:rsidRPr="00182A00" w:rsidRDefault="009B0114" w:rsidP="009B0114">
      <w:pPr>
        <w:pStyle w:val="CACCorps"/>
        <w:rPr>
          <w:rFonts w:eastAsia="Arial Unicode MS" w:cs="Times New Roman"/>
          <w:szCs w:val="20"/>
          <w:lang w:eastAsia="fr-FR"/>
        </w:rPr>
      </w:pPr>
    </w:p>
    <w:p w:rsidR="009B0114" w:rsidRDefault="009B0114" w:rsidP="009B0114">
      <w:pPr>
        <w:pStyle w:val="CACCorps"/>
        <w:rPr>
          <w:rFonts w:eastAsia="Arial Unicode MS" w:cs="Times New Roman"/>
          <w:b/>
          <w:szCs w:val="20"/>
          <w:lang w:eastAsia="fr-FR"/>
        </w:rPr>
      </w:pPr>
      <w:r w:rsidRPr="003426BA">
        <w:rPr>
          <w:rFonts w:eastAsia="Arial Unicode MS" w:cs="Times New Roman"/>
          <w:b/>
          <w:szCs w:val="20"/>
          <w:lang w:eastAsia="fr-FR"/>
        </w:rPr>
        <w:t>Actif</w:t>
      </w:r>
    </w:p>
    <w:p w:rsidR="009B0114" w:rsidRDefault="009B0114" w:rsidP="009B0114">
      <w:pPr>
        <w:pStyle w:val="CACCorps"/>
        <w:rPr>
          <w:rFonts w:eastAsia="Arial Unicode MS" w:cs="Times New Roman"/>
          <w:b/>
          <w:szCs w:val="20"/>
          <w:lang w:eastAsia="fr-FR"/>
        </w:rPr>
      </w:pPr>
    </w:p>
    <w:tbl>
      <w:tblPr>
        <w:tblW w:w="9164" w:type="dxa"/>
        <w:tblInd w:w="61" w:type="dxa"/>
        <w:tblLayout w:type="fixed"/>
        <w:tblCellMar>
          <w:left w:w="0" w:type="dxa"/>
          <w:right w:w="0" w:type="dxa"/>
        </w:tblCellMar>
        <w:tblLook w:val="0000" w:firstRow="0" w:lastRow="0" w:firstColumn="0" w:lastColumn="0" w:noHBand="0" w:noVBand="0"/>
      </w:tblPr>
      <w:tblGrid>
        <w:gridCol w:w="2647"/>
        <w:gridCol w:w="992"/>
        <w:gridCol w:w="1147"/>
        <w:gridCol w:w="1134"/>
        <w:gridCol w:w="992"/>
        <w:gridCol w:w="412"/>
        <w:gridCol w:w="1840"/>
      </w:tblGrid>
      <w:tr w:rsidR="009B0114" w:rsidRPr="001A3328" w:rsidTr="00B17386">
        <w:trPr>
          <w:trHeight w:hRule="exact" w:val="842"/>
        </w:trPr>
        <w:tc>
          <w:tcPr>
            <w:tcW w:w="2647" w:type="dxa"/>
            <w:tcBorders>
              <w:top w:val="single" w:sz="11" w:space="0" w:color="auto"/>
              <w:left w:val="single" w:sz="11" w:space="0" w:color="auto"/>
              <w:bottom w:val="single" w:sz="11" w:space="0" w:color="auto"/>
              <w:right w:val="single" w:sz="11" w:space="0" w:color="auto"/>
            </w:tcBorders>
            <w:shd w:val="clear" w:color="auto" w:fill="666666" w:themeFill="text2"/>
            <w:vAlign w:val="center"/>
          </w:tcPr>
          <w:p w:rsidR="009B0114" w:rsidRPr="001A3328" w:rsidRDefault="009B0114" w:rsidP="00B17386">
            <w:pPr>
              <w:pStyle w:val="Style10"/>
              <w:kinsoku w:val="0"/>
              <w:autoSpaceDE/>
              <w:autoSpaceDN/>
              <w:adjustRightInd/>
              <w:jc w:val="center"/>
              <w:rPr>
                <w:rStyle w:val="CharacterStyle2"/>
                <w:rFonts w:ascii="Calibri" w:eastAsiaTheme="majorEastAsia" w:hAnsi="Calibri" w:cs="Calibri"/>
                <w:b/>
                <w:bCs/>
                <w:color w:val="FFFFFF" w:themeColor="background1"/>
                <w:spacing w:val="4"/>
                <w:sz w:val="16"/>
                <w:szCs w:val="16"/>
              </w:rPr>
            </w:pPr>
            <w:r w:rsidRPr="001A3328">
              <w:rPr>
                <w:rStyle w:val="CharacterStyle2"/>
                <w:rFonts w:ascii="Calibri" w:eastAsiaTheme="majorEastAsia" w:hAnsi="Calibri" w:cs="Calibri"/>
                <w:b/>
                <w:bCs/>
                <w:color w:val="FFFFFF" w:themeColor="background1"/>
                <w:spacing w:val="4"/>
                <w:sz w:val="16"/>
                <w:szCs w:val="16"/>
              </w:rPr>
              <w:t>Éléments du bilan</w:t>
            </w:r>
            <w:r w:rsidRPr="001A3328">
              <w:rPr>
                <w:rStyle w:val="CharacterStyle2"/>
                <w:rFonts w:ascii="Calibri" w:eastAsiaTheme="majorEastAsia" w:hAnsi="Calibri" w:cs="Calibri"/>
                <w:b/>
                <w:bCs/>
                <w:color w:val="FFFFFF" w:themeColor="background1"/>
                <w:spacing w:val="4"/>
                <w:sz w:val="16"/>
                <w:szCs w:val="16"/>
              </w:rPr>
              <w:br/>
              <w:t>en normes IFRS</w:t>
            </w:r>
          </w:p>
        </w:tc>
        <w:tc>
          <w:tcPr>
            <w:tcW w:w="992" w:type="dxa"/>
            <w:tcBorders>
              <w:top w:val="single" w:sz="11" w:space="0" w:color="auto"/>
              <w:left w:val="single" w:sz="11" w:space="0" w:color="auto"/>
              <w:bottom w:val="single" w:sz="11" w:space="0" w:color="auto"/>
              <w:right w:val="single" w:sz="11" w:space="0" w:color="auto"/>
            </w:tcBorders>
            <w:shd w:val="clear" w:color="auto" w:fill="666666" w:themeFill="text2"/>
            <w:vAlign w:val="center"/>
          </w:tcPr>
          <w:p w:rsidR="009B0114" w:rsidRPr="001A3328" w:rsidRDefault="009B0114" w:rsidP="00B17386">
            <w:pPr>
              <w:pStyle w:val="Style10"/>
              <w:kinsoku w:val="0"/>
              <w:autoSpaceDE/>
              <w:autoSpaceDN/>
              <w:adjustRightInd/>
              <w:jc w:val="center"/>
              <w:rPr>
                <w:rStyle w:val="CharacterStyle2"/>
                <w:rFonts w:ascii="Calibri" w:eastAsiaTheme="majorEastAsia" w:hAnsi="Calibri" w:cs="Calibri"/>
                <w:b/>
                <w:bCs/>
                <w:color w:val="FFFFFF" w:themeColor="background1"/>
                <w:sz w:val="16"/>
                <w:szCs w:val="16"/>
              </w:rPr>
            </w:pPr>
            <w:r w:rsidRPr="001A3328">
              <w:rPr>
                <w:rStyle w:val="CharacterStyle2"/>
                <w:rFonts w:ascii="Calibri" w:eastAsiaTheme="majorEastAsia" w:hAnsi="Calibri" w:cs="Calibri"/>
                <w:b/>
                <w:bCs/>
                <w:color w:val="FFFFFF" w:themeColor="background1"/>
                <w:spacing w:val="2"/>
                <w:sz w:val="16"/>
                <w:szCs w:val="16"/>
              </w:rPr>
              <w:t>Exercice N-1</w:t>
            </w:r>
            <w:r w:rsidRPr="001A3328">
              <w:rPr>
                <w:rStyle w:val="CharacterStyle2"/>
                <w:rFonts w:ascii="Calibri" w:eastAsiaTheme="majorEastAsia" w:hAnsi="Calibri" w:cs="Calibri"/>
                <w:b/>
                <w:bCs/>
                <w:color w:val="FFFFFF" w:themeColor="background1"/>
                <w:spacing w:val="2"/>
                <w:sz w:val="16"/>
                <w:szCs w:val="16"/>
              </w:rPr>
              <w:br/>
            </w:r>
            <w:r w:rsidRPr="001A3328">
              <w:rPr>
                <w:rStyle w:val="CharacterStyle2"/>
                <w:rFonts w:ascii="Calibri" w:eastAsiaTheme="majorEastAsia" w:hAnsi="Calibri" w:cs="Calibri"/>
                <w:b/>
                <w:bCs/>
                <w:color w:val="FFFFFF" w:themeColor="background1"/>
                <w:sz w:val="16"/>
                <w:szCs w:val="16"/>
              </w:rPr>
              <w:t>en normes IFRS</w:t>
            </w:r>
          </w:p>
        </w:tc>
        <w:tc>
          <w:tcPr>
            <w:tcW w:w="1147" w:type="dxa"/>
            <w:tcBorders>
              <w:top w:val="single" w:sz="11" w:space="0" w:color="auto"/>
              <w:left w:val="single" w:sz="11" w:space="0" w:color="auto"/>
              <w:bottom w:val="single" w:sz="11" w:space="0" w:color="auto"/>
              <w:right w:val="single" w:sz="11" w:space="0" w:color="auto"/>
            </w:tcBorders>
            <w:shd w:val="clear" w:color="auto" w:fill="666666" w:themeFill="text2"/>
            <w:vAlign w:val="center"/>
          </w:tcPr>
          <w:p w:rsidR="009B0114" w:rsidRPr="001A3328" w:rsidRDefault="009B0114" w:rsidP="00B17386">
            <w:pPr>
              <w:pStyle w:val="Style10"/>
              <w:kinsoku w:val="0"/>
              <w:autoSpaceDE/>
              <w:autoSpaceDN/>
              <w:adjustRightInd/>
              <w:jc w:val="center"/>
              <w:rPr>
                <w:rStyle w:val="CharacterStyle2"/>
                <w:rFonts w:ascii="Calibri" w:eastAsiaTheme="majorEastAsia" w:hAnsi="Calibri" w:cs="Calibri"/>
                <w:b/>
                <w:bCs/>
                <w:color w:val="FFFFFF" w:themeColor="background1"/>
                <w:spacing w:val="6"/>
                <w:sz w:val="16"/>
                <w:szCs w:val="16"/>
              </w:rPr>
            </w:pPr>
            <w:r w:rsidRPr="001A3328">
              <w:rPr>
                <w:rStyle w:val="CharacterStyle2"/>
                <w:rFonts w:ascii="Calibri" w:eastAsiaTheme="majorEastAsia" w:hAnsi="Calibri" w:cs="Calibri"/>
                <w:b/>
                <w:bCs/>
                <w:color w:val="FFFFFF" w:themeColor="background1"/>
                <w:spacing w:val="6"/>
                <w:sz w:val="16"/>
                <w:szCs w:val="16"/>
              </w:rPr>
              <w:t>Reclassements</w:t>
            </w:r>
          </w:p>
        </w:tc>
        <w:tc>
          <w:tcPr>
            <w:tcW w:w="1134" w:type="dxa"/>
            <w:tcBorders>
              <w:top w:val="single" w:sz="11" w:space="0" w:color="auto"/>
              <w:left w:val="single" w:sz="11" w:space="0" w:color="auto"/>
              <w:bottom w:val="single" w:sz="11" w:space="0" w:color="auto"/>
              <w:right w:val="single" w:sz="11" w:space="0" w:color="auto"/>
            </w:tcBorders>
            <w:shd w:val="clear" w:color="auto" w:fill="666666" w:themeFill="text2"/>
            <w:vAlign w:val="center"/>
          </w:tcPr>
          <w:p w:rsidR="009B0114" w:rsidRPr="001A3328" w:rsidRDefault="009B0114" w:rsidP="00B17386">
            <w:pPr>
              <w:pStyle w:val="Style10"/>
              <w:kinsoku w:val="0"/>
              <w:autoSpaceDE/>
              <w:autoSpaceDN/>
              <w:adjustRightInd/>
              <w:jc w:val="center"/>
              <w:rPr>
                <w:rStyle w:val="CharacterStyle2"/>
                <w:rFonts w:ascii="Calibri" w:eastAsiaTheme="majorEastAsia" w:hAnsi="Calibri" w:cs="Calibri"/>
                <w:b/>
                <w:bCs/>
                <w:color w:val="FFFFFF" w:themeColor="background1"/>
                <w:sz w:val="16"/>
                <w:szCs w:val="16"/>
              </w:rPr>
            </w:pPr>
            <w:r w:rsidRPr="001A3328">
              <w:rPr>
                <w:rStyle w:val="CharacterStyle2"/>
                <w:rFonts w:ascii="Calibri" w:eastAsiaTheme="majorEastAsia" w:hAnsi="Calibri" w:cs="Calibri"/>
                <w:b/>
                <w:bCs/>
                <w:color w:val="FFFFFF" w:themeColor="background1"/>
                <w:sz w:val="16"/>
                <w:szCs w:val="16"/>
              </w:rPr>
              <w:t>Retraitements</w:t>
            </w:r>
          </w:p>
        </w:tc>
        <w:tc>
          <w:tcPr>
            <w:tcW w:w="992" w:type="dxa"/>
            <w:tcBorders>
              <w:top w:val="single" w:sz="11" w:space="0" w:color="auto"/>
              <w:left w:val="single" w:sz="11" w:space="0" w:color="auto"/>
              <w:bottom w:val="single" w:sz="11" w:space="0" w:color="auto"/>
              <w:right w:val="single" w:sz="11" w:space="0" w:color="auto"/>
            </w:tcBorders>
            <w:shd w:val="clear" w:color="auto" w:fill="666666" w:themeFill="text2"/>
            <w:vAlign w:val="center"/>
          </w:tcPr>
          <w:p w:rsidR="009B0114" w:rsidRPr="001A3328" w:rsidRDefault="009B0114" w:rsidP="00B17386">
            <w:pPr>
              <w:pStyle w:val="Style10"/>
              <w:kinsoku w:val="0"/>
              <w:autoSpaceDE/>
              <w:autoSpaceDN/>
              <w:adjustRightInd/>
              <w:jc w:val="center"/>
              <w:rPr>
                <w:rStyle w:val="CharacterStyle2"/>
                <w:rFonts w:ascii="Calibri" w:eastAsiaTheme="majorEastAsia" w:hAnsi="Calibri" w:cs="Calibri"/>
                <w:b/>
                <w:bCs/>
                <w:color w:val="FFFFFF" w:themeColor="background1"/>
                <w:spacing w:val="4"/>
                <w:sz w:val="16"/>
                <w:szCs w:val="16"/>
              </w:rPr>
            </w:pPr>
            <w:r w:rsidRPr="001A3328">
              <w:rPr>
                <w:rStyle w:val="CharacterStyle2"/>
                <w:rFonts w:ascii="Calibri" w:eastAsiaTheme="majorEastAsia" w:hAnsi="Calibri" w:cs="Calibri"/>
                <w:b/>
                <w:bCs/>
                <w:color w:val="FFFFFF" w:themeColor="background1"/>
                <w:spacing w:val="2"/>
                <w:sz w:val="16"/>
                <w:szCs w:val="16"/>
              </w:rPr>
              <w:t>Exercice N-1</w:t>
            </w:r>
            <w:r w:rsidRPr="001A3328">
              <w:rPr>
                <w:rStyle w:val="CharacterStyle2"/>
                <w:rFonts w:ascii="Calibri" w:eastAsiaTheme="majorEastAsia" w:hAnsi="Calibri" w:cs="Calibri"/>
                <w:b/>
                <w:bCs/>
                <w:color w:val="FFFFFF" w:themeColor="background1"/>
                <w:spacing w:val="2"/>
                <w:sz w:val="16"/>
                <w:szCs w:val="16"/>
              </w:rPr>
              <w:br/>
            </w:r>
            <w:r w:rsidRPr="001A3328">
              <w:rPr>
                <w:rStyle w:val="CharacterStyle2"/>
                <w:rFonts w:ascii="Calibri" w:eastAsiaTheme="majorEastAsia" w:hAnsi="Calibri" w:cs="Calibri"/>
                <w:b/>
                <w:bCs/>
                <w:color w:val="FFFFFF" w:themeColor="background1"/>
                <w:sz w:val="16"/>
                <w:szCs w:val="16"/>
              </w:rPr>
              <w:t>Retraité</w:t>
            </w:r>
            <w:r w:rsidRPr="001A3328">
              <w:rPr>
                <w:rStyle w:val="CharacterStyle2"/>
                <w:rFonts w:ascii="Calibri" w:eastAsiaTheme="majorEastAsia" w:hAnsi="Calibri" w:cs="Calibri"/>
                <w:b/>
                <w:bCs/>
                <w:color w:val="FFFFFF" w:themeColor="background1"/>
                <w:sz w:val="16"/>
                <w:szCs w:val="16"/>
              </w:rPr>
              <w:br/>
              <w:t xml:space="preserve">en règles </w:t>
            </w:r>
            <w:r w:rsidRPr="001A3328">
              <w:rPr>
                <w:rStyle w:val="CharacterStyle2"/>
                <w:rFonts w:ascii="Calibri" w:eastAsiaTheme="majorEastAsia" w:hAnsi="Calibri" w:cs="Calibri"/>
                <w:b/>
                <w:bCs/>
                <w:color w:val="FFFFFF" w:themeColor="background1"/>
                <w:spacing w:val="4"/>
                <w:sz w:val="16"/>
                <w:szCs w:val="16"/>
              </w:rPr>
              <w:t>françaises</w:t>
            </w:r>
          </w:p>
        </w:tc>
        <w:tc>
          <w:tcPr>
            <w:tcW w:w="412" w:type="dxa"/>
            <w:tcBorders>
              <w:top w:val="single" w:sz="11" w:space="0" w:color="auto"/>
              <w:left w:val="single" w:sz="11" w:space="0" w:color="auto"/>
              <w:bottom w:val="single" w:sz="11" w:space="0" w:color="auto"/>
              <w:right w:val="single" w:sz="11" w:space="0" w:color="auto"/>
            </w:tcBorders>
            <w:shd w:val="clear" w:color="auto" w:fill="666666" w:themeFill="text2"/>
            <w:vAlign w:val="center"/>
          </w:tcPr>
          <w:p w:rsidR="009B0114" w:rsidRPr="001A3328" w:rsidRDefault="009B0114" w:rsidP="00B17386">
            <w:pPr>
              <w:pStyle w:val="Style10"/>
              <w:kinsoku w:val="0"/>
              <w:autoSpaceDE/>
              <w:autoSpaceDN/>
              <w:adjustRightInd/>
              <w:jc w:val="center"/>
              <w:rPr>
                <w:rStyle w:val="CharacterStyle2"/>
                <w:rFonts w:ascii="Calibri" w:eastAsiaTheme="majorEastAsia" w:hAnsi="Calibri" w:cs="Calibri"/>
                <w:b/>
                <w:bCs/>
                <w:color w:val="FFFFFF" w:themeColor="background1"/>
                <w:sz w:val="16"/>
                <w:szCs w:val="16"/>
              </w:rPr>
            </w:pPr>
            <w:r w:rsidRPr="001A3328">
              <w:rPr>
                <w:rStyle w:val="CharacterStyle2"/>
                <w:rFonts w:ascii="Calibri" w:eastAsiaTheme="majorEastAsia" w:hAnsi="Calibri" w:cs="Calibri"/>
                <w:b/>
                <w:bCs/>
                <w:color w:val="FFFFFF" w:themeColor="background1"/>
                <w:sz w:val="16"/>
                <w:szCs w:val="16"/>
              </w:rPr>
              <w:t>Note</w:t>
            </w:r>
          </w:p>
        </w:tc>
        <w:tc>
          <w:tcPr>
            <w:tcW w:w="1840" w:type="dxa"/>
            <w:tcBorders>
              <w:top w:val="single" w:sz="11" w:space="0" w:color="auto"/>
              <w:left w:val="single" w:sz="11" w:space="0" w:color="auto"/>
              <w:bottom w:val="single" w:sz="11" w:space="0" w:color="auto"/>
              <w:right w:val="single" w:sz="11" w:space="0" w:color="auto"/>
            </w:tcBorders>
            <w:shd w:val="clear" w:color="auto" w:fill="666666" w:themeFill="text2"/>
            <w:vAlign w:val="center"/>
          </w:tcPr>
          <w:p w:rsidR="009B0114" w:rsidRPr="001A3328" w:rsidRDefault="009B0114" w:rsidP="00B17386">
            <w:pPr>
              <w:pStyle w:val="Style10"/>
              <w:kinsoku w:val="0"/>
              <w:autoSpaceDE/>
              <w:autoSpaceDN/>
              <w:adjustRightInd/>
              <w:jc w:val="center"/>
              <w:rPr>
                <w:rStyle w:val="CharacterStyle2"/>
                <w:rFonts w:ascii="Calibri" w:eastAsiaTheme="majorEastAsia" w:hAnsi="Calibri" w:cs="Calibri"/>
                <w:b/>
                <w:bCs/>
                <w:color w:val="FFFFFF" w:themeColor="background1"/>
                <w:spacing w:val="4"/>
                <w:sz w:val="16"/>
                <w:szCs w:val="16"/>
              </w:rPr>
            </w:pPr>
            <w:r w:rsidRPr="001A3328">
              <w:rPr>
                <w:rStyle w:val="CharacterStyle2"/>
                <w:rFonts w:ascii="Calibri" w:eastAsiaTheme="majorEastAsia" w:hAnsi="Calibri" w:cs="Calibri"/>
                <w:b/>
                <w:bCs/>
                <w:color w:val="FFFFFF" w:themeColor="background1"/>
                <w:spacing w:val="2"/>
                <w:sz w:val="16"/>
                <w:szCs w:val="16"/>
              </w:rPr>
              <w:t>Éléments du bilan</w:t>
            </w:r>
            <w:r w:rsidRPr="001A3328">
              <w:rPr>
                <w:rStyle w:val="CharacterStyle2"/>
                <w:rFonts w:ascii="Calibri" w:eastAsiaTheme="majorEastAsia" w:hAnsi="Calibri" w:cs="Calibri"/>
                <w:b/>
                <w:bCs/>
                <w:color w:val="FFFFFF" w:themeColor="background1"/>
                <w:spacing w:val="2"/>
                <w:sz w:val="16"/>
                <w:szCs w:val="16"/>
              </w:rPr>
              <w:br/>
            </w:r>
            <w:r w:rsidRPr="001A3328">
              <w:rPr>
                <w:rStyle w:val="CharacterStyle2"/>
                <w:rFonts w:ascii="Calibri" w:eastAsiaTheme="majorEastAsia" w:hAnsi="Calibri" w:cs="Calibri"/>
                <w:b/>
                <w:bCs/>
                <w:color w:val="FFFFFF" w:themeColor="background1"/>
                <w:sz w:val="16"/>
                <w:szCs w:val="16"/>
              </w:rPr>
              <w:t xml:space="preserve">en règles </w:t>
            </w:r>
            <w:r w:rsidRPr="001A3328">
              <w:rPr>
                <w:rStyle w:val="CharacterStyle2"/>
                <w:rFonts w:ascii="Calibri" w:eastAsiaTheme="majorEastAsia" w:hAnsi="Calibri" w:cs="Calibri"/>
                <w:b/>
                <w:bCs/>
                <w:color w:val="FFFFFF" w:themeColor="background1"/>
                <w:spacing w:val="4"/>
                <w:sz w:val="16"/>
                <w:szCs w:val="16"/>
              </w:rPr>
              <w:t>françaises</w:t>
            </w:r>
          </w:p>
        </w:tc>
      </w:tr>
      <w:tr w:rsidR="009B0114" w:rsidRPr="001A3328" w:rsidTr="00B17386">
        <w:trPr>
          <w:trHeight w:hRule="exact" w:val="404"/>
        </w:trPr>
        <w:tc>
          <w:tcPr>
            <w:tcW w:w="2647"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pacing w:val="-3"/>
                <w:sz w:val="16"/>
                <w:szCs w:val="16"/>
              </w:rPr>
            </w:pPr>
            <w:r w:rsidRPr="001A3328">
              <w:rPr>
                <w:rStyle w:val="CharacterStyle2"/>
                <w:rFonts w:ascii="Calibri" w:eastAsiaTheme="majorEastAsia" w:hAnsi="Calibri" w:cs="Calibri"/>
                <w:spacing w:val="-3"/>
                <w:sz w:val="16"/>
                <w:szCs w:val="16"/>
              </w:rPr>
              <w:t>Actifs non courants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47"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41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840"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20"/>
              <w:kinsoku w:val="0"/>
              <w:autoSpaceDE/>
              <w:autoSpaceDN/>
              <w:ind w:left="0"/>
              <w:rPr>
                <w:rStyle w:val="CharacterStyle1"/>
                <w:rFonts w:ascii="Calibri" w:hAnsi="Calibri" w:cs="Calibri"/>
                <w:sz w:val="16"/>
                <w:szCs w:val="16"/>
              </w:rPr>
            </w:pPr>
            <w:r w:rsidRPr="001A3328">
              <w:rPr>
                <w:rStyle w:val="CharacterStyle1"/>
                <w:rFonts w:ascii="Calibri" w:hAnsi="Calibri" w:cs="Calibri"/>
                <w:sz w:val="16"/>
                <w:szCs w:val="16"/>
              </w:rPr>
              <w:t>Actif immobilisé</w:t>
            </w:r>
          </w:p>
        </w:tc>
      </w:tr>
      <w:tr w:rsidR="009B0114" w:rsidRPr="001A3328" w:rsidTr="00B17386">
        <w:trPr>
          <w:trHeight w:hRule="exact" w:val="403"/>
        </w:trPr>
        <w:tc>
          <w:tcPr>
            <w:tcW w:w="2647"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pacing w:val="-2"/>
                <w:sz w:val="16"/>
                <w:szCs w:val="16"/>
              </w:rPr>
            </w:pPr>
            <w:r w:rsidRPr="001A3328">
              <w:rPr>
                <w:rStyle w:val="CharacterStyle2"/>
                <w:rFonts w:ascii="Calibri" w:eastAsiaTheme="majorEastAsia" w:hAnsi="Calibri" w:cs="Calibri"/>
                <w:spacing w:val="-2"/>
                <w:sz w:val="16"/>
                <w:szCs w:val="16"/>
              </w:rPr>
              <w:t>Écarts d'acquisition</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47"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41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840"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pacing w:val="-2"/>
                <w:sz w:val="16"/>
                <w:szCs w:val="16"/>
              </w:rPr>
            </w:pPr>
            <w:r w:rsidRPr="001A3328">
              <w:rPr>
                <w:rStyle w:val="CharacterStyle2"/>
                <w:rFonts w:ascii="Calibri" w:eastAsiaTheme="majorEastAsia" w:hAnsi="Calibri" w:cs="Calibri"/>
                <w:spacing w:val="-2"/>
                <w:sz w:val="16"/>
                <w:szCs w:val="16"/>
              </w:rPr>
              <w:t>Écarts d'acquisition</w:t>
            </w:r>
          </w:p>
        </w:tc>
      </w:tr>
      <w:tr w:rsidR="009B0114" w:rsidRPr="001A3328" w:rsidTr="00B17386">
        <w:trPr>
          <w:trHeight w:hRule="exact" w:val="403"/>
        </w:trPr>
        <w:tc>
          <w:tcPr>
            <w:tcW w:w="2647"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20"/>
              <w:kinsoku w:val="0"/>
              <w:autoSpaceDE/>
              <w:autoSpaceDN/>
              <w:ind w:left="0"/>
              <w:rPr>
                <w:rStyle w:val="CharacterStyle1"/>
                <w:rFonts w:ascii="Calibri" w:hAnsi="Calibri" w:cs="Calibri"/>
                <w:spacing w:val="-2"/>
                <w:sz w:val="16"/>
                <w:szCs w:val="16"/>
              </w:rPr>
            </w:pPr>
            <w:r w:rsidRPr="001A3328">
              <w:rPr>
                <w:rStyle w:val="CharacterStyle1"/>
                <w:rFonts w:ascii="Calibri" w:hAnsi="Calibri" w:cs="Calibri"/>
                <w:spacing w:val="-6"/>
                <w:sz w:val="16"/>
                <w:szCs w:val="16"/>
              </w:rPr>
              <w:t xml:space="preserve">Immobilisations </w:t>
            </w:r>
            <w:r w:rsidRPr="001A3328">
              <w:rPr>
                <w:rStyle w:val="CharacterStyle1"/>
                <w:rFonts w:ascii="Calibri" w:hAnsi="Calibri" w:cs="Calibri"/>
                <w:spacing w:val="-2"/>
                <w:sz w:val="16"/>
                <w:szCs w:val="16"/>
              </w:rPr>
              <w:t>Incorporelles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47"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41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840"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20"/>
              <w:kinsoku w:val="0"/>
              <w:autoSpaceDE/>
              <w:autoSpaceDN/>
              <w:ind w:left="0"/>
              <w:rPr>
                <w:rStyle w:val="CharacterStyle1"/>
                <w:rFonts w:ascii="Calibri" w:hAnsi="Calibri" w:cs="Calibri"/>
                <w:sz w:val="16"/>
                <w:szCs w:val="16"/>
              </w:rPr>
            </w:pPr>
            <w:r w:rsidRPr="001A3328">
              <w:rPr>
                <w:rStyle w:val="CharacterStyle1"/>
                <w:rFonts w:ascii="Calibri" w:hAnsi="Calibri" w:cs="Calibri"/>
                <w:spacing w:val="-7"/>
                <w:sz w:val="16"/>
                <w:szCs w:val="16"/>
              </w:rPr>
              <w:t xml:space="preserve">Immobilisations </w:t>
            </w:r>
            <w:r w:rsidRPr="001A3328">
              <w:rPr>
                <w:rStyle w:val="CharacterStyle1"/>
                <w:rFonts w:ascii="Calibri" w:hAnsi="Calibri" w:cs="Calibri"/>
                <w:sz w:val="16"/>
                <w:szCs w:val="16"/>
              </w:rPr>
              <w:t>incorporelles</w:t>
            </w:r>
          </w:p>
        </w:tc>
      </w:tr>
      <w:tr w:rsidR="009B0114" w:rsidRPr="001A3328" w:rsidTr="00B17386">
        <w:trPr>
          <w:trHeight w:hRule="exact" w:val="480"/>
        </w:trPr>
        <w:tc>
          <w:tcPr>
            <w:tcW w:w="2647"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20"/>
              <w:kinsoku w:val="0"/>
              <w:autoSpaceDE/>
              <w:autoSpaceDN/>
              <w:ind w:left="0"/>
              <w:rPr>
                <w:rStyle w:val="CharacterStyle1"/>
                <w:rFonts w:ascii="Calibri" w:hAnsi="Calibri" w:cs="Calibri"/>
                <w:sz w:val="16"/>
                <w:szCs w:val="16"/>
              </w:rPr>
            </w:pPr>
            <w:r w:rsidRPr="001A3328">
              <w:rPr>
                <w:rStyle w:val="CharacterStyle1"/>
                <w:rFonts w:ascii="Calibri" w:hAnsi="Calibri" w:cs="Calibri"/>
                <w:spacing w:val="-6"/>
                <w:sz w:val="16"/>
                <w:szCs w:val="16"/>
              </w:rPr>
              <w:t xml:space="preserve">Immobilisations </w:t>
            </w:r>
            <w:r w:rsidRPr="001A3328">
              <w:rPr>
                <w:rStyle w:val="CharacterStyle1"/>
                <w:rFonts w:ascii="Calibri" w:hAnsi="Calibri" w:cs="Calibri"/>
                <w:sz w:val="16"/>
                <w:szCs w:val="16"/>
              </w:rPr>
              <w:t>Corporelles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47"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41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840"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20"/>
              <w:kinsoku w:val="0"/>
              <w:autoSpaceDE/>
              <w:autoSpaceDN/>
              <w:ind w:left="0"/>
              <w:rPr>
                <w:rStyle w:val="CharacterStyle1"/>
                <w:rFonts w:ascii="Calibri" w:hAnsi="Calibri" w:cs="Calibri"/>
                <w:sz w:val="16"/>
                <w:szCs w:val="16"/>
              </w:rPr>
            </w:pPr>
            <w:r w:rsidRPr="001A3328">
              <w:rPr>
                <w:rStyle w:val="CharacterStyle1"/>
                <w:rFonts w:ascii="Calibri" w:hAnsi="Calibri" w:cs="Calibri"/>
                <w:spacing w:val="-7"/>
                <w:sz w:val="16"/>
                <w:szCs w:val="16"/>
              </w:rPr>
              <w:t xml:space="preserve">Immobilisations </w:t>
            </w:r>
            <w:r w:rsidRPr="001A3328">
              <w:rPr>
                <w:rStyle w:val="CharacterStyle1"/>
                <w:rFonts w:ascii="Calibri" w:hAnsi="Calibri" w:cs="Calibri"/>
                <w:sz w:val="16"/>
                <w:szCs w:val="16"/>
              </w:rPr>
              <w:t>corporelles</w:t>
            </w:r>
          </w:p>
        </w:tc>
      </w:tr>
      <w:tr w:rsidR="009B0114" w:rsidRPr="001A3328" w:rsidTr="00B17386">
        <w:trPr>
          <w:trHeight w:hRule="exact" w:val="597"/>
        </w:trPr>
        <w:tc>
          <w:tcPr>
            <w:tcW w:w="2647"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20"/>
              <w:kinsoku w:val="0"/>
              <w:autoSpaceDE/>
              <w:autoSpaceDN/>
              <w:ind w:left="0"/>
              <w:rPr>
                <w:rStyle w:val="CharacterStyle1"/>
                <w:rFonts w:ascii="Calibri" w:hAnsi="Calibri" w:cs="Calibri"/>
                <w:sz w:val="16"/>
                <w:szCs w:val="16"/>
              </w:rPr>
            </w:pPr>
            <w:r w:rsidRPr="001A3328">
              <w:rPr>
                <w:rStyle w:val="CharacterStyle1"/>
                <w:rFonts w:ascii="Calibri" w:hAnsi="Calibri" w:cs="Calibri"/>
                <w:sz w:val="16"/>
                <w:szCs w:val="16"/>
              </w:rPr>
              <w:t xml:space="preserve">Autres actifs </w:t>
            </w:r>
            <w:r w:rsidRPr="001A3328">
              <w:rPr>
                <w:rStyle w:val="CharacterStyle1"/>
                <w:rFonts w:ascii="Calibri" w:hAnsi="Calibri" w:cs="Calibri"/>
                <w:spacing w:val="-5"/>
                <w:sz w:val="16"/>
                <w:szCs w:val="16"/>
              </w:rPr>
              <w:t xml:space="preserve">financiers à long </w:t>
            </w:r>
            <w:r w:rsidRPr="001A3328">
              <w:rPr>
                <w:rStyle w:val="CharacterStyle1"/>
                <w:rFonts w:ascii="Calibri" w:hAnsi="Calibri" w:cs="Calibri"/>
                <w:sz w:val="16"/>
                <w:szCs w:val="16"/>
              </w:rPr>
              <w:t>terme</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47"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41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840"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20"/>
              <w:kinsoku w:val="0"/>
              <w:autoSpaceDE/>
              <w:autoSpaceDN/>
              <w:ind w:left="0"/>
              <w:rPr>
                <w:rStyle w:val="CharacterStyle1"/>
                <w:rFonts w:ascii="Calibri" w:hAnsi="Calibri" w:cs="Calibri"/>
                <w:sz w:val="16"/>
                <w:szCs w:val="16"/>
              </w:rPr>
            </w:pPr>
            <w:r w:rsidRPr="001A3328">
              <w:rPr>
                <w:rStyle w:val="CharacterStyle1"/>
                <w:rFonts w:ascii="Calibri" w:hAnsi="Calibri" w:cs="Calibri"/>
                <w:spacing w:val="-7"/>
                <w:sz w:val="16"/>
                <w:szCs w:val="16"/>
              </w:rPr>
              <w:t xml:space="preserve">Immobilisations </w:t>
            </w:r>
            <w:r w:rsidRPr="001A3328">
              <w:rPr>
                <w:rStyle w:val="CharacterStyle1"/>
                <w:rFonts w:ascii="Calibri" w:hAnsi="Calibri" w:cs="Calibri"/>
                <w:sz w:val="16"/>
                <w:szCs w:val="16"/>
              </w:rPr>
              <w:t>financières</w:t>
            </w:r>
          </w:p>
        </w:tc>
      </w:tr>
      <w:tr w:rsidR="009B0114" w:rsidRPr="001A3328" w:rsidTr="00B17386">
        <w:trPr>
          <w:trHeight w:hRule="exact" w:val="403"/>
        </w:trPr>
        <w:tc>
          <w:tcPr>
            <w:tcW w:w="2647"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20"/>
              <w:kinsoku w:val="0"/>
              <w:autoSpaceDE/>
              <w:autoSpaceDN/>
              <w:ind w:left="0"/>
              <w:rPr>
                <w:rStyle w:val="CharacterStyle1"/>
                <w:rFonts w:ascii="Calibri" w:hAnsi="Calibri" w:cs="Calibri"/>
                <w:sz w:val="16"/>
                <w:szCs w:val="16"/>
              </w:rPr>
            </w:pPr>
            <w:r w:rsidRPr="001A3328">
              <w:rPr>
                <w:rStyle w:val="CharacterStyle1"/>
                <w:rFonts w:ascii="Calibri" w:hAnsi="Calibri" w:cs="Calibri"/>
                <w:spacing w:val="-5"/>
                <w:sz w:val="16"/>
                <w:szCs w:val="16"/>
              </w:rPr>
              <w:t xml:space="preserve">Titres mis en </w:t>
            </w:r>
            <w:r w:rsidRPr="001A3328">
              <w:rPr>
                <w:rStyle w:val="CharacterStyle1"/>
                <w:rFonts w:ascii="Calibri" w:hAnsi="Calibri" w:cs="Calibri"/>
                <w:sz w:val="16"/>
                <w:szCs w:val="16"/>
              </w:rPr>
              <w:t>équivalence</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47"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41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840"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20"/>
              <w:kinsoku w:val="0"/>
              <w:autoSpaceDE/>
              <w:autoSpaceDN/>
              <w:ind w:left="0"/>
              <w:rPr>
                <w:rStyle w:val="CharacterStyle1"/>
                <w:rFonts w:ascii="Calibri" w:hAnsi="Calibri" w:cs="Calibri"/>
                <w:sz w:val="16"/>
                <w:szCs w:val="16"/>
              </w:rPr>
            </w:pPr>
            <w:r w:rsidRPr="001A3328">
              <w:rPr>
                <w:rStyle w:val="CharacterStyle1"/>
                <w:rFonts w:ascii="Calibri" w:hAnsi="Calibri" w:cs="Calibri"/>
                <w:spacing w:val="-6"/>
                <w:sz w:val="16"/>
                <w:szCs w:val="16"/>
              </w:rPr>
              <w:t xml:space="preserve">Titres mis en </w:t>
            </w:r>
            <w:r w:rsidRPr="001A3328">
              <w:rPr>
                <w:rStyle w:val="CharacterStyle1"/>
                <w:rFonts w:ascii="Calibri" w:hAnsi="Calibri" w:cs="Calibri"/>
                <w:sz w:val="16"/>
                <w:szCs w:val="16"/>
              </w:rPr>
              <w:t>équivalence</w:t>
            </w:r>
          </w:p>
        </w:tc>
      </w:tr>
      <w:tr w:rsidR="009B0114" w:rsidRPr="001A3328" w:rsidTr="00B17386">
        <w:trPr>
          <w:trHeight w:hRule="exact" w:val="404"/>
        </w:trPr>
        <w:tc>
          <w:tcPr>
            <w:tcW w:w="2647"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20"/>
              <w:kinsoku w:val="0"/>
              <w:autoSpaceDE/>
              <w:autoSpaceDN/>
              <w:ind w:left="0"/>
              <w:rPr>
                <w:rStyle w:val="CharacterStyle1"/>
                <w:rFonts w:ascii="Calibri" w:hAnsi="Calibri" w:cs="Calibri"/>
                <w:sz w:val="16"/>
                <w:szCs w:val="16"/>
              </w:rPr>
            </w:pPr>
            <w:r w:rsidRPr="001A3328">
              <w:rPr>
                <w:rStyle w:val="CharacterStyle1"/>
                <w:rFonts w:ascii="Calibri" w:hAnsi="Calibri" w:cs="Calibri"/>
                <w:spacing w:val="-5"/>
                <w:sz w:val="16"/>
                <w:szCs w:val="16"/>
              </w:rPr>
              <w:t xml:space="preserve">Autres actifs non </w:t>
            </w:r>
            <w:r w:rsidRPr="001A3328">
              <w:rPr>
                <w:rStyle w:val="CharacterStyle1"/>
                <w:rFonts w:ascii="Calibri" w:hAnsi="Calibri" w:cs="Calibri"/>
                <w:sz w:val="16"/>
                <w:szCs w:val="16"/>
              </w:rPr>
              <w:t>courants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47"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41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840"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r>
      <w:tr w:rsidR="009B0114" w:rsidRPr="001A3328" w:rsidTr="00B17386">
        <w:trPr>
          <w:trHeight w:hRule="exact" w:val="482"/>
        </w:trPr>
        <w:tc>
          <w:tcPr>
            <w:tcW w:w="2647"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20"/>
              <w:kinsoku w:val="0"/>
              <w:autoSpaceDE/>
              <w:autoSpaceDN/>
              <w:ind w:left="0"/>
              <w:rPr>
                <w:rStyle w:val="CharacterStyle1"/>
                <w:rFonts w:ascii="Calibri" w:hAnsi="Calibri" w:cs="Calibri"/>
                <w:spacing w:val="-4"/>
                <w:sz w:val="16"/>
                <w:szCs w:val="16"/>
              </w:rPr>
            </w:pPr>
            <w:r w:rsidRPr="001A3328">
              <w:rPr>
                <w:rStyle w:val="CharacterStyle1"/>
                <w:rFonts w:ascii="Calibri" w:hAnsi="Calibri" w:cs="Calibri"/>
                <w:sz w:val="16"/>
                <w:szCs w:val="16"/>
              </w:rPr>
              <w:t xml:space="preserve">Actifs courants </w:t>
            </w:r>
            <w:r w:rsidRPr="001A3328">
              <w:rPr>
                <w:rStyle w:val="CharacterStyle1"/>
                <w:rFonts w:ascii="Calibri" w:hAnsi="Calibri" w:cs="Calibri"/>
                <w:spacing w:val="-4"/>
                <w:sz w:val="16"/>
                <w:szCs w:val="16"/>
              </w:rPr>
              <w:t>Stocks et en cours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47"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41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840"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20"/>
              <w:kinsoku w:val="0"/>
              <w:autoSpaceDE/>
              <w:autoSpaceDN/>
              <w:ind w:left="0"/>
              <w:rPr>
                <w:rStyle w:val="CharacterStyle1"/>
                <w:rFonts w:ascii="Calibri" w:hAnsi="Calibri" w:cs="Calibri"/>
                <w:spacing w:val="-4"/>
                <w:sz w:val="16"/>
                <w:szCs w:val="16"/>
              </w:rPr>
            </w:pPr>
            <w:r w:rsidRPr="001A3328">
              <w:rPr>
                <w:rStyle w:val="CharacterStyle1"/>
                <w:rFonts w:ascii="Calibri" w:hAnsi="Calibri" w:cs="Calibri"/>
                <w:sz w:val="16"/>
                <w:szCs w:val="16"/>
              </w:rPr>
              <w:t xml:space="preserve">Actif circulant </w:t>
            </w:r>
            <w:r w:rsidRPr="001A3328">
              <w:rPr>
                <w:rStyle w:val="CharacterStyle1"/>
                <w:rFonts w:ascii="Calibri" w:hAnsi="Calibri" w:cs="Calibri"/>
                <w:spacing w:val="-4"/>
                <w:sz w:val="16"/>
                <w:szCs w:val="16"/>
              </w:rPr>
              <w:t>Stocks et en cours</w:t>
            </w:r>
          </w:p>
        </w:tc>
      </w:tr>
      <w:tr w:rsidR="009B0114" w:rsidRPr="001A3328" w:rsidTr="00B17386">
        <w:trPr>
          <w:trHeight w:hRule="exact" w:val="403"/>
        </w:trPr>
        <w:tc>
          <w:tcPr>
            <w:tcW w:w="2647"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20"/>
              <w:kinsoku w:val="0"/>
              <w:autoSpaceDE/>
              <w:autoSpaceDN/>
              <w:ind w:left="0"/>
              <w:rPr>
                <w:rStyle w:val="CharacterStyle1"/>
                <w:rFonts w:ascii="Calibri" w:hAnsi="Calibri" w:cs="Calibri"/>
                <w:sz w:val="16"/>
                <w:szCs w:val="16"/>
              </w:rPr>
            </w:pPr>
            <w:r w:rsidRPr="001A3328">
              <w:rPr>
                <w:rStyle w:val="CharacterStyle1"/>
                <w:rFonts w:ascii="Calibri" w:hAnsi="Calibri" w:cs="Calibri"/>
                <w:spacing w:val="-5"/>
                <w:sz w:val="16"/>
                <w:szCs w:val="16"/>
              </w:rPr>
              <w:t xml:space="preserve">Clients et autres </w:t>
            </w:r>
            <w:r w:rsidRPr="001A3328">
              <w:rPr>
                <w:rStyle w:val="CharacterStyle1"/>
                <w:rFonts w:ascii="Calibri" w:hAnsi="Calibri" w:cs="Calibri"/>
                <w:sz w:val="16"/>
                <w:szCs w:val="16"/>
              </w:rPr>
              <w:t>créances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47"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41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840"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20"/>
              <w:kinsoku w:val="0"/>
              <w:autoSpaceDE/>
              <w:autoSpaceDN/>
              <w:ind w:left="0"/>
              <w:rPr>
                <w:rStyle w:val="CharacterStyle1"/>
                <w:rFonts w:ascii="Calibri" w:hAnsi="Calibri" w:cs="Calibri"/>
                <w:sz w:val="16"/>
                <w:szCs w:val="16"/>
              </w:rPr>
            </w:pPr>
            <w:r w:rsidRPr="001A3328">
              <w:rPr>
                <w:rStyle w:val="CharacterStyle1"/>
                <w:rFonts w:ascii="Calibri" w:hAnsi="Calibri" w:cs="Calibri"/>
                <w:sz w:val="16"/>
                <w:szCs w:val="16"/>
              </w:rPr>
              <w:t>Clients</w:t>
            </w:r>
          </w:p>
        </w:tc>
      </w:tr>
      <w:tr w:rsidR="009B0114" w:rsidRPr="001A3328" w:rsidTr="00B17386">
        <w:trPr>
          <w:trHeight w:hRule="exact" w:val="598"/>
        </w:trPr>
        <w:tc>
          <w:tcPr>
            <w:tcW w:w="2647"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20"/>
              <w:kinsoku w:val="0"/>
              <w:autoSpaceDE/>
              <w:autoSpaceDN/>
              <w:ind w:left="0"/>
              <w:rPr>
                <w:rStyle w:val="CharacterStyle1"/>
                <w:rFonts w:ascii="Calibri" w:hAnsi="Calibri" w:cs="Calibri"/>
                <w:sz w:val="16"/>
                <w:szCs w:val="16"/>
              </w:rPr>
            </w:pPr>
            <w:r w:rsidRPr="001A3328">
              <w:rPr>
                <w:rStyle w:val="CharacterStyle1"/>
                <w:rFonts w:ascii="Calibri" w:hAnsi="Calibri" w:cs="Calibri"/>
                <w:spacing w:val="-3"/>
                <w:sz w:val="16"/>
                <w:szCs w:val="16"/>
              </w:rPr>
              <w:t xml:space="preserve">Autres actifs </w:t>
            </w:r>
            <w:r w:rsidRPr="001A3328">
              <w:rPr>
                <w:rStyle w:val="CharacterStyle1"/>
                <w:rFonts w:ascii="Calibri" w:hAnsi="Calibri" w:cs="Calibri"/>
                <w:sz w:val="16"/>
                <w:szCs w:val="16"/>
              </w:rPr>
              <w:t>courants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47"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41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840"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20"/>
              <w:kinsoku w:val="0"/>
              <w:autoSpaceDE/>
              <w:autoSpaceDN/>
              <w:ind w:left="0"/>
              <w:rPr>
                <w:rStyle w:val="CharacterStyle1"/>
                <w:rFonts w:ascii="Calibri" w:hAnsi="Calibri" w:cs="Calibri"/>
                <w:sz w:val="16"/>
                <w:szCs w:val="16"/>
              </w:rPr>
            </w:pPr>
            <w:r w:rsidRPr="001A3328">
              <w:rPr>
                <w:rStyle w:val="CharacterStyle1"/>
                <w:rFonts w:ascii="Calibri" w:hAnsi="Calibri" w:cs="Calibri"/>
                <w:spacing w:val="-4"/>
                <w:sz w:val="16"/>
                <w:szCs w:val="16"/>
              </w:rPr>
              <w:t xml:space="preserve">Autres créances et </w:t>
            </w:r>
            <w:r w:rsidRPr="001A3328">
              <w:rPr>
                <w:rStyle w:val="CharacterStyle1"/>
                <w:rFonts w:ascii="Calibri" w:hAnsi="Calibri" w:cs="Calibri"/>
                <w:sz w:val="16"/>
                <w:szCs w:val="16"/>
              </w:rPr>
              <w:t>comptes de régularisations</w:t>
            </w:r>
          </w:p>
        </w:tc>
      </w:tr>
      <w:tr w:rsidR="009B0114" w:rsidRPr="001A3328" w:rsidTr="00B17386">
        <w:trPr>
          <w:trHeight w:hRule="exact" w:val="403"/>
        </w:trPr>
        <w:tc>
          <w:tcPr>
            <w:tcW w:w="2647"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20"/>
              <w:kinsoku w:val="0"/>
              <w:autoSpaceDE/>
              <w:autoSpaceDN/>
              <w:ind w:left="0"/>
              <w:rPr>
                <w:rStyle w:val="CharacterStyle1"/>
                <w:rFonts w:ascii="Calibri" w:hAnsi="Calibri" w:cs="Calibri"/>
                <w:spacing w:val="-4"/>
                <w:sz w:val="16"/>
                <w:szCs w:val="16"/>
              </w:rPr>
            </w:pPr>
            <w:r w:rsidRPr="001A3328">
              <w:rPr>
                <w:rStyle w:val="CharacterStyle1"/>
                <w:rFonts w:ascii="Calibri" w:hAnsi="Calibri" w:cs="Calibri"/>
                <w:sz w:val="16"/>
                <w:szCs w:val="16"/>
              </w:rPr>
              <w:t xml:space="preserve">Instruments </w:t>
            </w:r>
            <w:r w:rsidRPr="001A3328">
              <w:rPr>
                <w:rStyle w:val="CharacterStyle1"/>
                <w:rFonts w:ascii="Calibri" w:hAnsi="Calibri" w:cs="Calibri"/>
                <w:spacing w:val="-4"/>
                <w:sz w:val="16"/>
                <w:szCs w:val="16"/>
              </w:rPr>
              <w:t>financiers dérivés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47"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41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840"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r>
      <w:tr w:rsidR="009B0114" w:rsidRPr="001A3328" w:rsidTr="00B17386">
        <w:trPr>
          <w:trHeight w:hRule="exact" w:val="392"/>
        </w:trPr>
        <w:tc>
          <w:tcPr>
            <w:tcW w:w="2647"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47"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41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840"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20"/>
              <w:kinsoku w:val="0"/>
              <w:autoSpaceDE/>
              <w:autoSpaceDN/>
              <w:ind w:left="0"/>
              <w:rPr>
                <w:rStyle w:val="CharacterStyle1"/>
                <w:rFonts w:ascii="Calibri" w:hAnsi="Calibri" w:cs="Calibri"/>
                <w:sz w:val="16"/>
                <w:szCs w:val="16"/>
              </w:rPr>
            </w:pPr>
            <w:r w:rsidRPr="001A3328">
              <w:rPr>
                <w:rStyle w:val="CharacterStyle1"/>
                <w:rFonts w:ascii="Calibri" w:hAnsi="Calibri" w:cs="Calibri"/>
                <w:sz w:val="16"/>
                <w:szCs w:val="16"/>
              </w:rPr>
              <w:t>VMP</w:t>
            </w:r>
          </w:p>
        </w:tc>
      </w:tr>
      <w:tr w:rsidR="009B0114" w:rsidRPr="001A3328" w:rsidTr="00B17386">
        <w:trPr>
          <w:trHeight w:hRule="exact" w:val="466"/>
        </w:trPr>
        <w:tc>
          <w:tcPr>
            <w:tcW w:w="2647"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jc w:val="both"/>
              <w:rPr>
                <w:rStyle w:val="CharacterStyle2"/>
                <w:rFonts w:ascii="Calibri" w:eastAsiaTheme="majorEastAsia" w:hAnsi="Calibri" w:cs="Calibri"/>
                <w:spacing w:val="-2"/>
                <w:sz w:val="16"/>
                <w:szCs w:val="16"/>
              </w:rPr>
            </w:pPr>
            <w:r w:rsidRPr="001A3328">
              <w:rPr>
                <w:rStyle w:val="CharacterStyle2"/>
                <w:rFonts w:ascii="Calibri" w:eastAsiaTheme="majorEastAsia" w:hAnsi="Calibri" w:cs="Calibri"/>
                <w:sz w:val="16"/>
                <w:szCs w:val="16"/>
              </w:rPr>
              <w:t xml:space="preserve">Trésorerie et </w:t>
            </w:r>
            <w:r w:rsidRPr="001A3328">
              <w:rPr>
                <w:rStyle w:val="CharacterStyle2"/>
                <w:rFonts w:ascii="Calibri" w:eastAsiaTheme="majorEastAsia" w:hAnsi="Calibri" w:cs="Calibri"/>
                <w:spacing w:val="-5"/>
                <w:sz w:val="16"/>
                <w:szCs w:val="16"/>
              </w:rPr>
              <w:t xml:space="preserve">équivalents de </w:t>
            </w:r>
            <w:r w:rsidRPr="001A3328">
              <w:rPr>
                <w:rStyle w:val="CharacterStyle2"/>
                <w:rFonts w:ascii="Calibri" w:eastAsiaTheme="majorEastAsia" w:hAnsi="Calibri" w:cs="Calibri"/>
                <w:spacing w:val="-2"/>
                <w:sz w:val="16"/>
                <w:szCs w:val="16"/>
              </w:rPr>
              <w:t>trésorerie</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47"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41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840"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20"/>
              <w:kinsoku w:val="0"/>
              <w:autoSpaceDE/>
              <w:autoSpaceDN/>
              <w:ind w:left="0"/>
              <w:rPr>
                <w:rStyle w:val="CharacterStyle1"/>
                <w:rFonts w:ascii="Calibri" w:hAnsi="Calibri" w:cs="Calibri"/>
                <w:sz w:val="16"/>
                <w:szCs w:val="16"/>
              </w:rPr>
            </w:pPr>
            <w:r w:rsidRPr="001A3328">
              <w:rPr>
                <w:rStyle w:val="CharacterStyle1"/>
                <w:rFonts w:ascii="Calibri" w:hAnsi="Calibri" w:cs="Calibri"/>
                <w:sz w:val="16"/>
                <w:szCs w:val="16"/>
              </w:rPr>
              <w:t>Disponibilités</w:t>
            </w:r>
          </w:p>
        </w:tc>
      </w:tr>
      <w:tr w:rsidR="009B0114" w:rsidRPr="001A3328" w:rsidTr="00B17386">
        <w:trPr>
          <w:trHeight w:hRule="exact" w:val="416"/>
        </w:trPr>
        <w:tc>
          <w:tcPr>
            <w:tcW w:w="2647"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20"/>
              <w:kinsoku w:val="0"/>
              <w:autoSpaceDE/>
              <w:autoSpaceDN/>
              <w:ind w:left="0"/>
              <w:rPr>
                <w:rStyle w:val="CharacterStyle1"/>
                <w:rFonts w:ascii="Calibri" w:hAnsi="Calibri" w:cs="Calibri"/>
                <w:spacing w:val="-2"/>
                <w:sz w:val="16"/>
                <w:szCs w:val="16"/>
              </w:rPr>
            </w:pPr>
            <w:r w:rsidRPr="001A3328">
              <w:rPr>
                <w:rStyle w:val="CharacterStyle1"/>
                <w:rFonts w:ascii="Calibri" w:hAnsi="Calibri" w:cs="Calibri"/>
                <w:spacing w:val="-4"/>
                <w:sz w:val="16"/>
                <w:szCs w:val="16"/>
              </w:rPr>
              <w:t xml:space="preserve">Actifs détenus en </w:t>
            </w:r>
            <w:r w:rsidRPr="001A3328">
              <w:rPr>
                <w:rStyle w:val="CharacterStyle1"/>
                <w:rFonts w:ascii="Calibri" w:hAnsi="Calibri" w:cs="Calibri"/>
                <w:spacing w:val="-2"/>
                <w:sz w:val="16"/>
                <w:szCs w:val="16"/>
              </w:rPr>
              <w:t>vue de la vente</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47"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41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840"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r>
      <w:tr w:rsidR="009B0114" w:rsidRPr="001A3328" w:rsidTr="00B17386">
        <w:trPr>
          <w:trHeight w:hRule="exact" w:val="396"/>
        </w:trPr>
        <w:tc>
          <w:tcPr>
            <w:tcW w:w="2647"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b/>
                <w:bCs/>
                <w:spacing w:val="-4"/>
                <w:sz w:val="16"/>
                <w:szCs w:val="16"/>
              </w:rPr>
            </w:pPr>
            <w:r w:rsidRPr="001A3328">
              <w:rPr>
                <w:rStyle w:val="CharacterStyle2"/>
                <w:rFonts w:ascii="Calibri" w:eastAsiaTheme="majorEastAsia" w:hAnsi="Calibri" w:cs="Calibri"/>
                <w:b/>
                <w:bCs/>
                <w:spacing w:val="-4"/>
                <w:sz w:val="16"/>
                <w:szCs w:val="16"/>
              </w:rPr>
              <w:t>Total de l'actif</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47"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412"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840" w:type="dxa"/>
            <w:tcBorders>
              <w:top w:val="single" w:sz="11" w:space="0" w:color="auto"/>
              <w:left w:val="single" w:sz="11" w:space="0" w:color="auto"/>
              <w:bottom w:val="single" w:sz="11" w:space="0" w:color="auto"/>
              <w:right w:val="single" w:sz="11" w:space="0" w:color="auto"/>
            </w:tcBorders>
            <w:vAlign w:val="center"/>
          </w:tcPr>
          <w:p w:rsidR="009B0114" w:rsidRPr="001A3328" w:rsidRDefault="009B0114" w:rsidP="00B17386">
            <w:pPr>
              <w:pStyle w:val="Style10"/>
              <w:kinsoku w:val="0"/>
              <w:autoSpaceDE/>
              <w:autoSpaceDN/>
              <w:adjustRightInd/>
              <w:rPr>
                <w:rStyle w:val="CharacterStyle2"/>
                <w:rFonts w:ascii="Calibri" w:eastAsiaTheme="majorEastAsia" w:hAnsi="Calibri" w:cs="Calibri"/>
                <w:b/>
                <w:bCs/>
                <w:spacing w:val="-4"/>
                <w:sz w:val="16"/>
                <w:szCs w:val="16"/>
              </w:rPr>
            </w:pPr>
            <w:r w:rsidRPr="001A3328">
              <w:rPr>
                <w:rStyle w:val="CharacterStyle2"/>
                <w:rFonts w:ascii="Calibri" w:eastAsiaTheme="majorEastAsia" w:hAnsi="Calibri" w:cs="Calibri"/>
                <w:b/>
                <w:bCs/>
                <w:spacing w:val="-4"/>
                <w:sz w:val="16"/>
                <w:szCs w:val="16"/>
              </w:rPr>
              <w:t>Total de l'actif</w:t>
            </w:r>
          </w:p>
        </w:tc>
      </w:tr>
    </w:tbl>
    <w:p w:rsidR="009B0114" w:rsidRDefault="009B0114" w:rsidP="009B0114">
      <w:pPr>
        <w:pStyle w:val="CACCorps"/>
        <w:rPr>
          <w:rFonts w:eastAsia="Arial Unicode MS" w:cs="Times New Roman"/>
          <w:szCs w:val="20"/>
          <w:lang w:eastAsia="fr-FR"/>
        </w:rPr>
      </w:pPr>
    </w:p>
    <w:p w:rsidR="009B0114" w:rsidRDefault="009B0114" w:rsidP="009B0114">
      <w:pPr>
        <w:jc w:val="left"/>
        <w:rPr>
          <w:rFonts w:eastAsia="Arial Unicode MS" w:cs="Times New Roman"/>
          <w:szCs w:val="20"/>
          <w:lang w:eastAsia="fr-FR"/>
        </w:rPr>
      </w:pPr>
      <w:r>
        <w:rPr>
          <w:rFonts w:eastAsia="Arial Unicode MS" w:cs="Times New Roman"/>
          <w:szCs w:val="20"/>
          <w:lang w:eastAsia="fr-FR"/>
        </w:rPr>
        <w:br w:type="page"/>
      </w:r>
    </w:p>
    <w:p w:rsidR="009B0114" w:rsidRDefault="009B0114" w:rsidP="009B0114">
      <w:pPr>
        <w:pStyle w:val="CACCorps"/>
        <w:rPr>
          <w:rFonts w:eastAsia="Arial Unicode MS" w:cs="Times New Roman"/>
          <w:szCs w:val="20"/>
          <w:lang w:eastAsia="fr-FR"/>
        </w:rPr>
      </w:pPr>
    </w:p>
    <w:p w:rsidR="009B0114" w:rsidRPr="003426BA" w:rsidRDefault="009B0114" w:rsidP="009B0114">
      <w:pPr>
        <w:pStyle w:val="CACCorps"/>
        <w:rPr>
          <w:rFonts w:eastAsia="Arial Unicode MS" w:cs="Times New Roman"/>
          <w:b/>
          <w:szCs w:val="20"/>
          <w:lang w:eastAsia="fr-FR"/>
        </w:rPr>
      </w:pPr>
      <w:r w:rsidRPr="003426BA">
        <w:rPr>
          <w:rFonts w:eastAsia="Arial Unicode MS" w:cs="Times New Roman"/>
          <w:b/>
          <w:szCs w:val="20"/>
          <w:lang w:eastAsia="fr-FR"/>
        </w:rPr>
        <w:t>Passif</w:t>
      </w:r>
    </w:p>
    <w:tbl>
      <w:tblPr>
        <w:tblW w:w="9734" w:type="dxa"/>
        <w:tblInd w:w="61" w:type="dxa"/>
        <w:tblLayout w:type="fixed"/>
        <w:tblCellMar>
          <w:left w:w="0" w:type="dxa"/>
          <w:right w:w="0" w:type="dxa"/>
        </w:tblCellMar>
        <w:tblLook w:val="0000" w:firstRow="0" w:lastRow="0" w:firstColumn="0" w:lastColumn="0" w:noHBand="0" w:noVBand="0"/>
      </w:tblPr>
      <w:tblGrid>
        <w:gridCol w:w="2363"/>
        <w:gridCol w:w="992"/>
        <w:gridCol w:w="1418"/>
        <w:gridCol w:w="1134"/>
        <w:gridCol w:w="1559"/>
        <w:gridCol w:w="709"/>
        <w:gridCol w:w="1559"/>
      </w:tblGrid>
      <w:tr w:rsidR="009B0114" w:rsidRPr="00A331DD" w:rsidTr="00B17386">
        <w:trPr>
          <w:trHeight w:hRule="exact" w:val="1050"/>
        </w:trPr>
        <w:tc>
          <w:tcPr>
            <w:tcW w:w="2363" w:type="dxa"/>
            <w:tcBorders>
              <w:top w:val="single" w:sz="11" w:space="0" w:color="auto"/>
              <w:left w:val="single" w:sz="11" w:space="0" w:color="auto"/>
              <w:bottom w:val="single" w:sz="11" w:space="0" w:color="auto"/>
              <w:right w:val="single" w:sz="11" w:space="0" w:color="auto"/>
            </w:tcBorders>
            <w:shd w:val="clear" w:color="auto" w:fill="666666" w:themeFill="text2"/>
            <w:vAlign w:val="center"/>
          </w:tcPr>
          <w:p w:rsidR="009B0114" w:rsidRPr="00A331DD" w:rsidRDefault="009B0114" w:rsidP="00B17386">
            <w:pPr>
              <w:pStyle w:val="Style10"/>
              <w:kinsoku w:val="0"/>
              <w:autoSpaceDE/>
              <w:autoSpaceDN/>
              <w:adjustRightInd/>
              <w:jc w:val="center"/>
              <w:rPr>
                <w:rStyle w:val="CharacterStyle2"/>
                <w:rFonts w:ascii="Calibri" w:eastAsiaTheme="majorEastAsia" w:hAnsi="Calibri" w:cs="Calibri"/>
                <w:b/>
                <w:bCs/>
                <w:color w:val="FFFFFF" w:themeColor="background1"/>
                <w:spacing w:val="4"/>
                <w:sz w:val="18"/>
                <w:szCs w:val="16"/>
              </w:rPr>
            </w:pPr>
            <w:r w:rsidRPr="00A331DD">
              <w:rPr>
                <w:rStyle w:val="CharacterStyle2"/>
                <w:rFonts w:ascii="Calibri" w:eastAsiaTheme="majorEastAsia" w:hAnsi="Calibri" w:cs="Calibri"/>
                <w:b/>
                <w:bCs/>
                <w:color w:val="FFFFFF" w:themeColor="background1"/>
                <w:spacing w:val="4"/>
                <w:sz w:val="18"/>
                <w:szCs w:val="16"/>
              </w:rPr>
              <w:t>Éléments du bilan</w:t>
            </w:r>
            <w:r w:rsidRPr="00A331DD">
              <w:rPr>
                <w:rStyle w:val="CharacterStyle2"/>
                <w:rFonts w:ascii="Calibri" w:eastAsiaTheme="majorEastAsia" w:hAnsi="Calibri" w:cs="Calibri"/>
                <w:b/>
                <w:bCs/>
                <w:color w:val="FFFFFF" w:themeColor="background1"/>
                <w:spacing w:val="4"/>
                <w:sz w:val="18"/>
                <w:szCs w:val="16"/>
              </w:rPr>
              <w:br/>
              <w:t>en normes IFRS</w:t>
            </w:r>
          </w:p>
        </w:tc>
        <w:tc>
          <w:tcPr>
            <w:tcW w:w="992" w:type="dxa"/>
            <w:tcBorders>
              <w:top w:val="single" w:sz="11" w:space="0" w:color="auto"/>
              <w:left w:val="single" w:sz="11" w:space="0" w:color="auto"/>
              <w:bottom w:val="single" w:sz="11" w:space="0" w:color="auto"/>
              <w:right w:val="single" w:sz="11" w:space="0" w:color="auto"/>
            </w:tcBorders>
            <w:shd w:val="clear" w:color="auto" w:fill="666666" w:themeFill="text2"/>
            <w:vAlign w:val="center"/>
          </w:tcPr>
          <w:p w:rsidR="009B0114" w:rsidRPr="00A331DD" w:rsidRDefault="009B0114" w:rsidP="00B17386">
            <w:pPr>
              <w:pStyle w:val="Style10"/>
              <w:kinsoku w:val="0"/>
              <w:autoSpaceDE/>
              <w:autoSpaceDN/>
              <w:adjustRightInd/>
              <w:jc w:val="center"/>
              <w:rPr>
                <w:rStyle w:val="CharacterStyle2"/>
                <w:rFonts w:ascii="Calibri" w:eastAsiaTheme="majorEastAsia" w:hAnsi="Calibri" w:cs="Calibri"/>
                <w:b/>
                <w:bCs/>
                <w:color w:val="FFFFFF" w:themeColor="background1"/>
                <w:sz w:val="18"/>
                <w:szCs w:val="16"/>
              </w:rPr>
            </w:pPr>
            <w:r w:rsidRPr="00A331DD">
              <w:rPr>
                <w:rStyle w:val="CharacterStyle2"/>
                <w:rFonts w:ascii="Calibri" w:eastAsiaTheme="majorEastAsia" w:hAnsi="Calibri" w:cs="Calibri"/>
                <w:b/>
                <w:bCs/>
                <w:color w:val="FFFFFF" w:themeColor="background1"/>
                <w:spacing w:val="2"/>
                <w:sz w:val="18"/>
                <w:szCs w:val="16"/>
              </w:rPr>
              <w:t>Exercice N-1</w:t>
            </w:r>
            <w:r w:rsidRPr="00A331DD">
              <w:rPr>
                <w:rStyle w:val="CharacterStyle2"/>
                <w:rFonts w:ascii="Calibri" w:eastAsiaTheme="majorEastAsia" w:hAnsi="Calibri" w:cs="Calibri"/>
                <w:b/>
                <w:bCs/>
                <w:color w:val="FFFFFF" w:themeColor="background1"/>
                <w:spacing w:val="2"/>
                <w:sz w:val="18"/>
                <w:szCs w:val="16"/>
              </w:rPr>
              <w:br/>
            </w:r>
            <w:r w:rsidRPr="00A331DD">
              <w:rPr>
                <w:rStyle w:val="CharacterStyle2"/>
                <w:rFonts w:ascii="Calibri" w:eastAsiaTheme="majorEastAsia" w:hAnsi="Calibri" w:cs="Calibri"/>
                <w:b/>
                <w:bCs/>
                <w:color w:val="FFFFFF" w:themeColor="background1"/>
                <w:sz w:val="18"/>
                <w:szCs w:val="16"/>
              </w:rPr>
              <w:t>en normes</w:t>
            </w:r>
            <w:r w:rsidRPr="00A331DD">
              <w:rPr>
                <w:rStyle w:val="CharacterStyle2"/>
                <w:rFonts w:eastAsiaTheme="majorEastAsia" w:cs="Calibri"/>
                <w:b/>
                <w:bCs/>
                <w:color w:val="FFFFFF" w:themeColor="background1"/>
                <w:sz w:val="18"/>
                <w:szCs w:val="16"/>
              </w:rPr>
              <w:t xml:space="preserve"> </w:t>
            </w:r>
            <w:r w:rsidRPr="00A331DD">
              <w:rPr>
                <w:rStyle w:val="CharacterStyle2"/>
                <w:rFonts w:ascii="Calibri" w:eastAsiaTheme="majorEastAsia" w:hAnsi="Calibri" w:cs="Calibri"/>
                <w:b/>
                <w:bCs/>
                <w:color w:val="FFFFFF" w:themeColor="background1"/>
                <w:sz w:val="18"/>
                <w:szCs w:val="16"/>
              </w:rPr>
              <w:t>IFRS</w:t>
            </w:r>
          </w:p>
        </w:tc>
        <w:tc>
          <w:tcPr>
            <w:tcW w:w="1418" w:type="dxa"/>
            <w:tcBorders>
              <w:top w:val="single" w:sz="11" w:space="0" w:color="auto"/>
              <w:left w:val="single" w:sz="11" w:space="0" w:color="auto"/>
              <w:bottom w:val="single" w:sz="11" w:space="0" w:color="auto"/>
              <w:right w:val="single" w:sz="11" w:space="0" w:color="auto"/>
            </w:tcBorders>
            <w:shd w:val="clear" w:color="auto" w:fill="666666" w:themeFill="text2"/>
            <w:vAlign w:val="center"/>
          </w:tcPr>
          <w:p w:rsidR="009B0114" w:rsidRPr="00A331DD" w:rsidRDefault="009B0114" w:rsidP="00B17386">
            <w:pPr>
              <w:pStyle w:val="Style10"/>
              <w:kinsoku w:val="0"/>
              <w:autoSpaceDE/>
              <w:autoSpaceDN/>
              <w:adjustRightInd/>
              <w:jc w:val="center"/>
              <w:rPr>
                <w:rStyle w:val="CharacterStyle2"/>
                <w:rFonts w:ascii="Calibri" w:eastAsiaTheme="majorEastAsia" w:hAnsi="Calibri" w:cs="Calibri"/>
                <w:b/>
                <w:bCs/>
                <w:color w:val="FFFFFF" w:themeColor="background1"/>
                <w:spacing w:val="6"/>
                <w:sz w:val="18"/>
                <w:szCs w:val="16"/>
              </w:rPr>
            </w:pPr>
            <w:r w:rsidRPr="00A331DD">
              <w:rPr>
                <w:rStyle w:val="CharacterStyle2"/>
                <w:rFonts w:ascii="Calibri" w:eastAsiaTheme="majorEastAsia" w:hAnsi="Calibri" w:cs="Calibri"/>
                <w:b/>
                <w:bCs/>
                <w:color w:val="FFFFFF" w:themeColor="background1"/>
                <w:spacing w:val="6"/>
                <w:sz w:val="18"/>
                <w:szCs w:val="16"/>
              </w:rPr>
              <w:t>Reclassements</w:t>
            </w:r>
          </w:p>
        </w:tc>
        <w:tc>
          <w:tcPr>
            <w:tcW w:w="1134" w:type="dxa"/>
            <w:tcBorders>
              <w:top w:val="single" w:sz="11" w:space="0" w:color="auto"/>
              <w:left w:val="single" w:sz="11" w:space="0" w:color="auto"/>
              <w:bottom w:val="single" w:sz="11" w:space="0" w:color="auto"/>
              <w:right w:val="single" w:sz="11" w:space="0" w:color="auto"/>
            </w:tcBorders>
            <w:shd w:val="clear" w:color="auto" w:fill="666666" w:themeFill="text2"/>
            <w:vAlign w:val="center"/>
          </w:tcPr>
          <w:p w:rsidR="009B0114" w:rsidRPr="00A331DD" w:rsidRDefault="009B0114" w:rsidP="00B17386">
            <w:pPr>
              <w:pStyle w:val="Style10"/>
              <w:kinsoku w:val="0"/>
              <w:autoSpaceDE/>
              <w:autoSpaceDN/>
              <w:adjustRightInd/>
              <w:jc w:val="center"/>
              <w:rPr>
                <w:rStyle w:val="CharacterStyle2"/>
                <w:rFonts w:ascii="Calibri" w:eastAsiaTheme="majorEastAsia" w:hAnsi="Calibri" w:cs="Calibri"/>
                <w:b/>
                <w:bCs/>
                <w:color w:val="FFFFFF" w:themeColor="background1"/>
                <w:sz w:val="18"/>
                <w:szCs w:val="16"/>
              </w:rPr>
            </w:pPr>
            <w:r w:rsidRPr="00A331DD">
              <w:rPr>
                <w:rStyle w:val="CharacterStyle2"/>
                <w:rFonts w:ascii="Calibri" w:eastAsiaTheme="majorEastAsia" w:hAnsi="Calibri" w:cs="Calibri"/>
                <w:b/>
                <w:bCs/>
                <w:color w:val="FFFFFF" w:themeColor="background1"/>
                <w:sz w:val="18"/>
                <w:szCs w:val="16"/>
              </w:rPr>
              <w:t>Retraitements</w:t>
            </w:r>
          </w:p>
        </w:tc>
        <w:tc>
          <w:tcPr>
            <w:tcW w:w="1559" w:type="dxa"/>
            <w:tcBorders>
              <w:top w:val="single" w:sz="11" w:space="0" w:color="auto"/>
              <w:left w:val="single" w:sz="11" w:space="0" w:color="auto"/>
              <w:bottom w:val="single" w:sz="11" w:space="0" w:color="auto"/>
              <w:right w:val="single" w:sz="11" w:space="0" w:color="auto"/>
            </w:tcBorders>
            <w:shd w:val="clear" w:color="auto" w:fill="666666" w:themeFill="text2"/>
            <w:vAlign w:val="center"/>
          </w:tcPr>
          <w:p w:rsidR="009B0114" w:rsidRPr="00A331DD" w:rsidRDefault="009B0114" w:rsidP="00B17386">
            <w:pPr>
              <w:pStyle w:val="Style10"/>
              <w:kinsoku w:val="0"/>
              <w:autoSpaceDE/>
              <w:autoSpaceDN/>
              <w:adjustRightInd/>
              <w:jc w:val="center"/>
              <w:rPr>
                <w:rStyle w:val="CharacterStyle2"/>
                <w:rFonts w:ascii="Calibri" w:eastAsiaTheme="majorEastAsia" w:hAnsi="Calibri" w:cs="Calibri"/>
                <w:b/>
                <w:bCs/>
                <w:color w:val="FFFFFF" w:themeColor="background1"/>
                <w:spacing w:val="4"/>
                <w:sz w:val="18"/>
                <w:szCs w:val="16"/>
              </w:rPr>
            </w:pPr>
            <w:r w:rsidRPr="00A331DD">
              <w:rPr>
                <w:rStyle w:val="CharacterStyle2"/>
                <w:rFonts w:ascii="Calibri" w:eastAsiaTheme="majorEastAsia" w:hAnsi="Calibri" w:cs="Calibri"/>
                <w:b/>
                <w:bCs/>
                <w:color w:val="FFFFFF" w:themeColor="background1"/>
                <w:spacing w:val="2"/>
                <w:sz w:val="18"/>
                <w:szCs w:val="16"/>
              </w:rPr>
              <w:t>Exercice N-1</w:t>
            </w:r>
            <w:r w:rsidRPr="00A331DD">
              <w:rPr>
                <w:rStyle w:val="CharacterStyle2"/>
                <w:rFonts w:eastAsiaTheme="majorEastAsia" w:cs="Calibri"/>
                <w:b/>
                <w:bCs/>
                <w:color w:val="FFFFFF" w:themeColor="background1"/>
                <w:spacing w:val="2"/>
                <w:sz w:val="18"/>
                <w:szCs w:val="16"/>
              </w:rPr>
              <w:br/>
            </w:r>
            <w:r w:rsidRPr="00A331DD">
              <w:rPr>
                <w:rStyle w:val="CharacterStyle2"/>
                <w:rFonts w:eastAsiaTheme="majorEastAsia" w:cs="Calibri"/>
                <w:b/>
                <w:bCs/>
                <w:color w:val="FFFFFF" w:themeColor="background1"/>
                <w:sz w:val="18"/>
                <w:szCs w:val="16"/>
              </w:rPr>
              <w:t>Retraité</w:t>
            </w:r>
            <w:r w:rsidRPr="00A331DD">
              <w:rPr>
                <w:rStyle w:val="CharacterStyle2"/>
                <w:rFonts w:eastAsiaTheme="majorEastAsia" w:cs="Calibri"/>
                <w:b/>
                <w:bCs/>
                <w:color w:val="FFFFFF" w:themeColor="background1"/>
                <w:sz w:val="18"/>
                <w:szCs w:val="16"/>
              </w:rPr>
              <w:br/>
            </w:r>
            <w:r w:rsidRPr="00A331DD">
              <w:rPr>
                <w:rStyle w:val="CharacterStyle2"/>
                <w:rFonts w:ascii="Calibri" w:eastAsiaTheme="majorEastAsia" w:hAnsi="Calibri" w:cs="Calibri"/>
                <w:b/>
                <w:bCs/>
                <w:color w:val="FFFFFF" w:themeColor="background1"/>
                <w:sz w:val="18"/>
                <w:szCs w:val="16"/>
              </w:rPr>
              <w:t>en règles</w:t>
            </w:r>
            <w:r w:rsidRPr="00A331DD">
              <w:rPr>
                <w:rStyle w:val="CharacterStyle2"/>
                <w:rFonts w:eastAsiaTheme="majorEastAsia" w:cs="Calibri"/>
                <w:b/>
                <w:bCs/>
                <w:color w:val="FFFFFF" w:themeColor="background1"/>
                <w:sz w:val="18"/>
                <w:szCs w:val="16"/>
              </w:rPr>
              <w:t xml:space="preserve"> </w:t>
            </w:r>
            <w:r w:rsidRPr="00A331DD">
              <w:rPr>
                <w:rStyle w:val="CharacterStyle2"/>
                <w:rFonts w:ascii="Calibri" w:eastAsiaTheme="majorEastAsia" w:hAnsi="Calibri" w:cs="Calibri"/>
                <w:b/>
                <w:bCs/>
                <w:color w:val="FFFFFF" w:themeColor="background1"/>
                <w:spacing w:val="4"/>
                <w:sz w:val="18"/>
                <w:szCs w:val="16"/>
              </w:rPr>
              <w:t>françaises</w:t>
            </w:r>
          </w:p>
        </w:tc>
        <w:tc>
          <w:tcPr>
            <w:tcW w:w="709" w:type="dxa"/>
            <w:tcBorders>
              <w:top w:val="single" w:sz="11" w:space="0" w:color="auto"/>
              <w:left w:val="single" w:sz="11" w:space="0" w:color="auto"/>
              <w:bottom w:val="single" w:sz="11" w:space="0" w:color="auto"/>
              <w:right w:val="single" w:sz="11" w:space="0" w:color="auto"/>
            </w:tcBorders>
            <w:shd w:val="clear" w:color="auto" w:fill="666666" w:themeFill="text2"/>
            <w:vAlign w:val="center"/>
          </w:tcPr>
          <w:p w:rsidR="009B0114" w:rsidRPr="00A331DD" w:rsidRDefault="009B0114" w:rsidP="00B17386">
            <w:pPr>
              <w:pStyle w:val="Style10"/>
              <w:kinsoku w:val="0"/>
              <w:autoSpaceDE/>
              <w:autoSpaceDN/>
              <w:adjustRightInd/>
              <w:jc w:val="center"/>
              <w:rPr>
                <w:rStyle w:val="CharacterStyle2"/>
                <w:rFonts w:ascii="Calibri" w:eastAsiaTheme="majorEastAsia" w:hAnsi="Calibri" w:cs="Calibri"/>
                <w:b/>
                <w:bCs/>
                <w:color w:val="FFFFFF" w:themeColor="background1"/>
                <w:sz w:val="18"/>
                <w:szCs w:val="16"/>
              </w:rPr>
            </w:pPr>
            <w:r w:rsidRPr="00A331DD">
              <w:rPr>
                <w:rStyle w:val="CharacterStyle2"/>
                <w:rFonts w:ascii="Calibri" w:eastAsiaTheme="majorEastAsia" w:hAnsi="Calibri" w:cs="Calibri"/>
                <w:b/>
                <w:bCs/>
                <w:color w:val="FFFFFF" w:themeColor="background1"/>
                <w:sz w:val="18"/>
                <w:szCs w:val="16"/>
              </w:rPr>
              <w:t>Note</w:t>
            </w:r>
          </w:p>
        </w:tc>
        <w:tc>
          <w:tcPr>
            <w:tcW w:w="1559" w:type="dxa"/>
            <w:tcBorders>
              <w:top w:val="single" w:sz="11" w:space="0" w:color="auto"/>
              <w:left w:val="single" w:sz="11" w:space="0" w:color="auto"/>
              <w:bottom w:val="single" w:sz="11" w:space="0" w:color="auto"/>
              <w:right w:val="single" w:sz="11" w:space="0" w:color="auto"/>
            </w:tcBorders>
            <w:shd w:val="clear" w:color="auto" w:fill="666666" w:themeFill="text2"/>
            <w:vAlign w:val="center"/>
          </w:tcPr>
          <w:p w:rsidR="009B0114" w:rsidRPr="00A331DD" w:rsidRDefault="009B0114" w:rsidP="00B17386">
            <w:pPr>
              <w:pStyle w:val="Style10"/>
              <w:kinsoku w:val="0"/>
              <w:autoSpaceDE/>
              <w:autoSpaceDN/>
              <w:adjustRightInd/>
              <w:jc w:val="center"/>
              <w:rPr>
                <w:rStyle w:val="CharacterStyle2"/>
                <w:rFonts w:ascii="Calibri" w:eastAsiaTheme="majorEastAsia" w:hAnsi="Calibri" w:cs="Calibri"/>
                <w:b/>
                <w:bCs/>
                <w:color w:val="FFFFFF" w:themeColor="background1"/>
                <w:spacing w:val="4"/>
                <w:sz w:val="18"/>
                <w:szCs w:val="16"/>
              </w:rPr>
            </w:pPr>
            <w:r w:rsidRPr="00A331DD">
              <w:rPr>
                <w:rStyle w:val="CharacterStyle2"/>
                <w:rFonts w:ascii="Calibri" w:eastAsiaTheme="majorEastAsia" w:hAnsi="Calibri" w:cs="Calibri"/>
                <w:b/>
                <w:bCs/>
                <w:color w:val="FFFFFF" w:themeColor="background1"/>
                <w:spacing w:val="2"/>
                <w:sz w:val="18"/>
                <w:szCs w:val="16"/>
              </w:rPr>
              <w:t>Éléments du bilan</w:t>
            </w:r>
            <w:r w:rsidRPr="00A331DD">
              <w:rPr>
                <w:rStyle w:val="CharacterStyle2"/>
                <w:rFonts w:ascii="Calibri" w:eastAsiaTheme="majorEastAsia" w:hAnsi="Calibri" w:cs="Calibri"/>
                <w:b/>
                <w:bCs/>
                <w:color w:val="FFFFFF" w:themeColor="background1"/>
                <w:spacing w:val="2"/>
                <w:sz w:val="18"/>
                <w:szCs w:val="16"/>
              </w:rPr>
              <w:br/>
            </w:r>
            <w:r w:rsidRPr="00A331DD">
              <w:rPr>
                <w:rStyle w:val="CharacterStyle2"/>
                <w:rFonts w:ascii="Calibri" w:eastAsiaTheme="majorEastAsia" w:hAnsi="Calibri" w:cs="Calibri"/>
                <w:b/>
                <w:bCs/>
                <w:color w:val="FFFFFF" w:themeColor="background1"/>
                <w:sz w:val="18"/>
                <w:szCs w:val="16"/>
              </w:rPr>
              <w:t>en règles</w:t>
            </w:r>
            <w:r w:rsidRPr="00A331DD">
              <w:rPr>
                <w:rStyle w:val="CharacterStyle2"/>
                <w:rFonts w:eastAsiaTheme="majorEastAsia" w:cs="Calibri"/>
                <w:b/>
                <w:bCs/>
                <w:color w:val="FFFFFF" w:themeColor="background1"/>
                <w:sz w:val="18"/>
                <w:szCs w:val="16"/>
              </w:rPr>
              <w:t xml:space="preserve"> </w:t>
            </w:r>
            <w:r w:rsidRPr="00A331DD">
              <w:rPr>
                <w:rStyle w:val="CharacterStyle2"/>
                <w:rFonts w:ascii="Calibri" w:eastAsiaTheme="majorEastAsia" w:hAnsi="Calibri" w:cs="Calibri"/>
                <w:b/>
                <w:bCs/>
                <w:color w:val="FFFFFF" w:themeColor="background1"/>
                <w:spacing w:val="4"/>
                <w:sz w:val="18"/>
                <w:szCs w:val="16"/>
              </w:rPr>
              <w:t>françaises</w:t>
            </w: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pacing w:val="-3"/>
                <w:sz w:val="16"/>
                <w:szCs w:val="16"/>
              </w:rPr>
            </w:pPr>
            <w:r>
              <w:rPr>
                <w:rStyle w:val="CharacterStyle2"/>
                <w:rFonts w:ascii="Calibri" w:eastAsiaTheme="majorEastAsia" w:hAnsi="Calibri" w:cs="Calibri"/>
                <w:spacing w:val="-3"/>
                <w:sz w:val="16"/>
                <w:szCs w:val="16"/>
              </w:rPr>
              <w:t>Capitaux propres (part du groupe)</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z w:val="16"/>
                <w:szCs w:val="16"/>
              </w:rPr>
            </w:pPr>
            <w:r>
              <w:rPr>
                <w:rStyle w:val="CharacterStyle1"/>
                <w:rFonts w:ascii="Calibri" w:hAnsi="Calibri" w:cs="Calibri"/>
                <w:sz w:val="16"/>
                <w:szCs w:val="16"/>
              </w:rPr>
              <w:t>Capitaux propres (part du groupe)</w:t>
            </w: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pacing w:val="-2"/>
                <w:sz w:val="16"/>
                <w:szCs w:val="16"/>
              </w:rPr>
            </w:pPr>
            <w:r>
              <w:rPr>
                <w:rStyle w:val="CharacterStyle2"/>
                <w:rFonts w:ascii="Calibri" w:eastAsiaTheme="majorEastAsia" w:hAnsi="Calibri" w:cs="Calibri"/>
                <w:spacing w:val="-2"/>
                <w:sz w:val="16"/>
                <w:szCs w:val="16"/>
              </w:rPr>
              <w:t>Capital</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pacing w:val="-2"/>
                <w:sz w:val="16"/>
                <w:szCs w:val="16"/>
              </w:rPr>
            </w:pPr>
            <w:r>
              <w:rPr>
                <w:rStyle w:val="CharacterStyle2"/>
                <w:rFonts w:ascii="Calibri" w:eastAsiaTheme="majorEastAsia" w:hAnsi="Calibri" w:cs="Calibri"/>
                <w:spacing w:val="-2"/>
                <w:sz w:val="16"/>
                <w:szCs w:val="16"/>
              </w:rPr>
              <w:t>Capital</w:t>
            </w: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pacing w:val="-2"/>
                <w:sz w:val="16"/>
                <w:szCs w:val="16"/>
              </w:rPr>
            </w:pPr>
            <w:r>
              <w:rPr>
                <w:rStyle w:val="CharacterStyle1"/>
                <w:rFonts w:ascii="Calibri" w:hAnsi="Calibri" w:cs="Calibri"/>
                <w:spacing w:val="-2"/>
                <w:sz w:val="16"/>
                <w:szCs w:val="16"/>
              </w:rPr>
              <w:t>Primes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z w:val="16"/>
                <w:szCs w:val="16"/>
              </w:rPr>
            </w:pPr>
            <w:r>
              <w:rPr>
                <w:rStyle w:val="CharacterStyle1"/>
                <w:rFonts w:ascii="Calibri" w:hAnsi="Calibri" w:cs="Calibri"/>
                <w:sz w:val="16"/>
                <w:szCs w:val="16"/>
              </w:rPr>
              <w:t>Primes</w:t>
            </w: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z w:val="16"/>
                <w:szCs w:val="16"/>
              </w:rPr>
            </w:pPr>
            <w:r>
              <w:rPr>
                <w:rStyle w:val="CharacterStyle1"/>
                <w:rFonts w:ascii="Calibri" w:hAnsi="Calibri" w:cs="Calibri"/>
                <w:sz w:val="16"/>
                <w:szCs w:val="16"/>
              </w:rPr>
              <w:t>Résultats non distribués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z w:val="16"/>
                <w:szCs w:val="16"/>
              </w:rPr>
            </w:pPr>
            <w:r>
              <w:rPr>
                <w:rStyle w:val="CharacterStyle1"/>
                <w:rFonts w:ascii="Calibri" w:hAnsi="Calibri" w:cs="Calibri"/>
                <w:sz w:val="16"/>
                <w:szCs w:val="16"/>
              </w:rPr>
              <w:t>Réserves</w:t>
            </w: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z w:val="16"/>
                <w:szCs w:val="16"/>
              </w:rPr>
            </w:pPr>
            <w:r>
              <w:rPr>
                <w:rStyle w:val="CharacterStyle1"/>
                <w:rFonts w:ascii="Calibri" w:hAnsi="Calibri" w:cs="Calibri"/>
                <w:sz w:val="16"/>
                <w:szCs w:val="16"/>
              </w:rPr>
              <w:t>Autres composantes des capitaux propres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z w:val="16"/>
                <w:szCs w:val="16"/>
              </w:rPr>
            </w:pP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z w:val="16"/>
                <w:szCs w:val="16"/>
              </w:rPr>
            </w:pPr>
            <w:r>
              <w:rPr>
                <w:rStyle w:val="CharacterStyle1"/>
                <w:rFonts w:ascii="Calibri" w:hAnsi="Calibri" w:cs="Calibri"/>
                <w:sz w:val="16"/>
                <w:szCs w:val="16"/>
              </w:rPr>
              <w:t>Résultat</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r>
              <w:rPr>
                <w:rStyle w:val="CharacterStyle2"/>
                <w:rFonts w:ascii="Calibri" w:eastAsiaTheme="majorEastAsia" w:hAnsi="Calibri" w:cs="Calibri"/>
                <w:sz w:val="16"/>
                <w:szCs w:val="16"/>
              </w:rPr>
              <w:t>Résultat</w:t>
            </w: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pacing w:val="-4"/>
                <w:sz w:val="16"/>
                <w:szCs w:val="16"/>
              </w:rPr>
            </w:pP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pacing w:val="-4"/>
                <w:sz w:val="16"/>
                <w:szCs w:val="16"/>
              </w:rPr>
            </w:pPr>
            <w:r>
              <w:rPr>
                <w:rStyle w:val="CharacterStyle1"/>
                <w:rFonts w:ascii="Calibri" w:hAnsi="Calibri" w:cs="Calibri"/>
                <w:spacing w:val="-4"/>
                <w:sz w:val="16"/>
                <w:szCs w:val="16"/>
              </w:rPr>
              <w:t>Autres</w:t>
            </w: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z w:val="16"/>
                <w:szCs w:val="16"/>
              </w:rPr>
            </w:pPr>
            <w:r>
              <w:rPr>
                <w:rStyle w:val="CharacterStyle1"/>
                <w:rFonts w:ascii="Calibri" w:hAnsi="Calibri" w:cs="Calibri"/>
                <w:sz w:val="16"/>
                <w:szCs w:val="16"/>
              </w:rPr>
              <w:t>Intérêts minoritaires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z w:val="16"/>
                <w:szCs w:val="16"/>
              </w:rPr>
            </w:pPr>
            <w:r>
              <w:rPr>
                <w:rStyle w:val="CharacterStyle1"/>
                <w:rFonts w:ascii="Calibri" w:hAnsi="Calibri" w:cs="Calibri"/>
                <w:sz w:val="16"/>
                <w:szCs w:val="16"/>
              </w:rPr>
              <w:t>Intérêts minoritaires</w:t>
            </w:r>
          </w:p>
        </w:tc>
      </w:tr>
      <w:tr w:rsidR="009B0114" w:rsidRPr="00A331DD"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A331DD" w:rsidRDefault="009B0114" w:rsidP="00B17386">
            <w:pPr>
              <w:pStyle w:val="Style20"/>
              <w:kinsoku w:val="0"/>
              <w:autoSpaceDE/>
              <w:autoSpaceDN/>
              <w:ind w:left="0"/>
              <w:rPr>
                <w:rStyle w:val="CharacterStyle1"/>
                <w:rFonts w:ascii="Calibri" w:hAnsi="Calibri" w:cs="Calibri"/>
                <w:b/>
                <w:sz w:val="20"/>
                <w:szCs w:val="16"/>
              </w:rPr>
            </w:pPr>
            <w:r w:rsidRPr="00A331DD">
              <w:rPr>
                <w:rStyle w:val="CharacterStyle1"/>
                <w:rFonts w:ascii="Calibri" w:hAnsi="Calibri" w:cs="Calibri"/>
                <w:b/>
                <w:sz w:val="20"/>
                <w:szCs w:val="16"/>
              </w:rPr>
              <w:t>Passifs non courants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A331DD" w:rsidRDefault="009B0114" w:rsidP="00B17386">
            <w:pPr>
              <w:pStyle w:val="Style10"/>
              <w:kinsoku w:val="0"/>
              <w:autoSpaceDE/>
              <w:autoSpaceDN/>
              <w:adjustRightInd/>
              <w:rPr>
                <w:rStyle w:val="CharacterStyle2"/>
                <w:rFonts w:ascii="Calibri" w:eastAsiaTheme="majorEastAsia" w:hAnsi="Calibri" w:cs="Calibri"/>
                <w:b/>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A331DD" w:rsidRDefault="009B0114" w:rsidP="00B17386">
            <w:pPr>
              <w:pStyle w:val="Style10"/>
              <w:kinsoku w:val="0"/>
              <w:autoSpaceDE/>
              <w:autoSpaceDN/>
              <w:adjustRightInd/>
              <w:rPr>
                <w:rStyle w:val="CharacterStyle2"/>
                <w:rFonts w:ascii="Calibri" w:eastAsiaTheme="majorEastAsia" w:hAnsi="Calibri" w:cs="Calibri"/>
                <w:b/>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A331DD" w:rsidRDefault="009B0114" w:rsidP="00B17386">
            <w:pPr>
              <w:pStyle w:val="Style10"/>
              <w:kinsoku w:val="0"/>
              <w:autoSpaceDE/>
              <w:autoSpaceDN/>
              <w:adjustRightInd/>
              <w:rPr>
                <w:rStyle w:val="CharacterStyle2"/>
                <w:rFonts w:ascii="Calibri" w:eastAsiaTheme="majorEastAsia" w:hAnsi="Calibri" w:cs="Calibri"/>
                <w:b/>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A331DD" w:rsidRDefault="009B0114" w:rsidP="00B17386">
            <w:pPr>
              <w:pStyle w:val="Style10"/>
              <w:kinsoku w:val="0"/>
              <w:autoSpaceDE/>
              <w:autoSpaceDN/>
              <w:adjustRightInd/>
              <w:rPr>
                <w:rStyle w:val="CharacterStyle2"/>
                <w:rFonts w:ascii="Calibri" w:eastAsiaTheme="majorEastAsia" w:hAnsi="Calibri" w:cs="Calibri"/>
                <w:b/>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A331DD" w:rsidRDefault="009B0114" w:rsidP="00B17386">
            <w:pPr>
              <w:pStyle w:val="Style10"/>
              <w:kinsoku w:val="0"/>
              <w:autoSpaceDE/>
              <w:autoSpaceDN/>
              <w:adjustRightInd/>
              <w:rPr>
                <w:rStyle w:val="CharacterStyle2"/>
                <w:rFonts w:ascii="Calibri" w:eastAsiaTheme="majorEastAsia" w:hAnsi="Calibri" w:cs="Calibri"/>
                <w:b/>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A331DD" w:rsidRDefault="009B0114" w:rsidP="00B17386">
            <w:pPr>
              <w:pStyle w:val="Style20"/>
              <w:kinsoku w:val="0"/>
              <w:autoSpaceDE/>
              <w:autoSpaceDN/>
              <w:ind w:left="0"/>
              <w:rPr>
                <w:rStyle w:val="CharacterStyle1"/>
                <w:rFonts w:ascii="Calibri" w:hAnsi="Calibri" w:cs="Calibri"/>
                <w:b/>
                <w:sz w:val="20"/>
                <w:szCs w:val="16"/>
              </w:rPr>
            </w:pPr>
            <w:r>
              <w:rPr>
                <w:rStyle w:val="CharacterStyle1"/>
                <w:rFonts w:ascii="Calibri" w:hAnsi="Calibri" w:cs="Calibri"/>
                <w:b/>
                <w:sz w:val="20"/>
                <w:szCs w:val="16"/>
              </w:rPr>
              <w:t>Dettes</w:t>
            </w: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pacing w:val="-4"/>
                <w:sz w:val="16"/>
                <w:szCs w:val="16"/>
              </w:rPr>
            </w:pPr>
            <w:r>
              <w:rPr>
                <w:rStyle w:val="CharacterStyle1"/>
                <w:rFonts w:ascii="Calibri" w:hAnsi="Calibri" w:cs="Calibri"/>
                <w:spacing w:val="-4"/>
                <w:sz w:val="16"/>
                <w:szCs w:val="16"/>
              </w:rPr>
              <w:t>Retraites et autres avantages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r>
              <w:rPr>
                <w:rStyle w:val="CharacterStyle2"/>
                <w:rFonts w:ascii="Calibri" w:eastAsiaTheme="majorEastAsia" w:hAnsi="Calibri" w:cs="Calibri"/>
                <w:sz w:val="16"/>
                <w:szCs w:val="16"/>
              </w:rPr>
              <w:t>Dettes financières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z w:val="16"/>
                <w:szCs w:val="16"/>
              </w:rPr>
            </w:pPr>
            <w:r>
              <w:rPr>
                <w:rStyle w:val="CharacterStyle1"/>
                <w:rFonts w:ascii="Calibri" w:hAnsi="Calibri" w:cs="Calibri"/>
                <w:sz w:val="16"/>
                <w:szCs w:val="16"/>
              </w:rPr>
              <w:t>Emprunts et dettes financières</w:t>
            </w: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jc w:val="both"/>
              <w:rPr>
                <w:rStyle w:val="CharacterStyle2"/>
                <w:rFonts w:ascii="Calibri" w:eastAsiaTheme="majorEastAsia" w:hAnsi="Calibri" w:cs="Calibri"/>
                <w:spacing w:val="-2"/>
                <w:sz w:val="16"/>
                <w:szCs w:val="16"/>
              </w:rPr>
            </w:pPr>
            <w:r>
              <w:rPr>
                <w:rStyle w:val="CharacterStyle2"/>
                <w:rFonts w:ascii="Calibri" w:eastAsiaTheme="majorEastAsia" w:hAnsi="Calibri" w:cs="Calibri"/>
                <w:spacing w:val="-2"/>
                <w:sz w:val="16"/>
                <w:szCs w:val="16"/>
              </w:rPr>
              <w:t>Impôts différés passifs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z w:val="16"/>
                <w:szCs w:val="16"/>
              </w:rPr>
            </w:pP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pacing w:val="-2"/>
                <w:sz w:val="16"/>
                <w:szCs w:val="16"/>
              </w:rPr>
            </w:pPr>
            <w:r>
              <w:rPr>
                <w:rStyle w:val="CharacterStyle1"/>
                <w:rFonts w:ascii="Calibri" w:hAnsi="Calibri" w:cs="Calibri"/>
                <w:spacing w:val="-2"/>
                <w:sz w:val="16"/>
                <w:szCs w:val="16"/>
              </w:rPr>
              <w:t>Provisions à long terme</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r>
              <w:rPr>
                <w:rStyle w:val="CharacterStyle2"/>
                <w:rFonts w:ascii="Calibri" w:eastAsiaTheme="majorEastAsia" w:hAnsi="Calibri" w:cs="Calibri"/>
                <w:sz w:val="16"/>
                <w:szCs w:val="16"/>
              </w:rPr>
              <w:t>Provisions</w:t>
            </w: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pacing w:val="-2"/>
                <w:sz w:val="16"/>
                <w:szCs w:val="16"/>
              </w:rPr>
            </w:pPr>
            <w:r>
              <w:rPr>
                <w:rStyle w:val="CharacterStyle1"/>
                <w:rFonts w:ascii="Calibri" w:hAnsi="Calibri" w:cs="Calibri"/>
                <w:spacing w:val="-2"/>
                <w:sz w:val="16"/>
                <w:szCs w:val="16"/>
              </w:rPr>
              <w:t>Autres passifs non courants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r>
      <w:tr w:rsidR="009B0114" w:rsidRPr="00A331DD"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A331DD" w:rsidRDefault="009B0114" w:rsidP="00B17386">
            <w:pPr>
              <w:pStyle w:val="Style20"/>
              <w:kinsoku w:val="0"/>
              <w:autoSpaceDE/>
              <w:autoSpaceDN/>
              <w:ind w:left="0"/>
              <w:rPr>
                <w:rStyle w:val="CharacterStyle1"/>
                <w:rFonts w:ascii="Calibri" w:hAnsi="Calibri" w:cs="Calibri"/>
                <w:b/>
                <w:sz w:val="20"/>
                <w:szCs w:val="16"/>
              </w:rPr>
            </w:pPr>
            <w:r w:rsidRPr="00A331DD">
              <w:rPr>
                <w:rStyle w:val="CharacterStyle1"/>
                <w:rFonts w:ascii="Calibri" w:hAnsi="Calibri" w:cs="Calibri"/>
                <w:b/>
                <w:sz w:val="20"/>
                <w:szCs w:val="16"/>
              </w:rPr>
              <w:t>Passifs courants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A331DD" w:rsidRDefault="009B0114" w:rsidP="00B17386">
            <w:pPr>
              <w:pStyle w:val="Style20"/>
              <w:kinsoku w:val="0"/>
              <w:autoSpaceDE/>
              <w:autoSpaceDN/>
              <w:ind w:left="0"/>
              <w:rPr>
                <w:rStyle w:val="CharacterStyle1"/>
                <w:rFonts w:ascii="Calibri" w:hAnsi="Calibri" w:cs="Calibri"/>
                <w:b/>
                <w:sz w:val="20"/>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A331DD" w:rsidRDefault="009B0114" w:rsidP="00B17386">
            <w:pPr>
              <w:pStyle w:val="Style20"/>
              <w:kinsoku w:val="0"/>
              <w:autoSpaceDE/>
              <w:autoSpaceDN/>
              <w:ind w:left="0"/>
              <w:rPr>
                <w:rStyle w:val="CharacterStyle1"/>
                <w:rFonts w:ascii="Calibri" w:hAnsi="Calibri" w:cs="Calibri"/>
                <w:b/>
                <w:sz w:val="20"/>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A331DD" w:rsidRDefault="009B0114" w:rsidP="00B17386">
            <w:pPr>
              <w:pStyle w:val="Style20"/>
              <w:kinsoku w:val="0"/>
              <w:autoSpaceDE/>
              <w:autoSpaceDN/>
              <w:ind w:left="0"/>
              <w:rPr>
                <w:rStyle w:val="CharacterStyle1"/>
                <w:rFonts w:ascii="Calibri" w:hAnsi="Calibri" w:cs="Calibri"/>
                <w:b/>
                <w:sz w:val="20"/>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A331DD" w:rsidRDefault="009B0114" w:rsidP="00B17386">
            <w:pPr>
              <w:pStyle w:val="Style20"/>
              <w:kinsoku w:val="0"/>
              <w:autoSpaceDE/>
              <w:autoSpaceDN/>
              <w:ind w:left="0"/>
              <w:rPr>
                <w:rStyle w:val="CharacterStyle1"/>
                <w:rFonts w:ascii="Calibri" w:hAnsi="Calibri" w:cs="Calibri"/>
                <w:b/>
                <w:sz w:val="20"/>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A331DD" w:rsidRDefault="009B0114" w:rsidP="00B17386">
            <w:pPr>
              <w:pStyle w:val="Style20"/>
              <w:kinsoku w:val="0"/>
              <w:autoSpaceDE/>
              <w:autoSpaceDN/>
              <w:ind w:left="0"/>
              <w:rPr>
                <w:rStyle w:val="CharacterStyle1"/>
                <w:rFonts w:ascii="Calibri" w:hAnsi="Calibri" w:cs="Calibri"/>
                <w:b/>
                <w:sz w:val="20"/>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A331DD" w:rsidRDefault="009B0114" w:rsidP="00B17386">
            <w:pPr>
              <w:pStyle w:val="Style20"/>
              <w:kinsoku w:val="0"/>
              <w:autoSpaceDE/>
              <w:autoSpaceDN/>
              <w:ind w:left="0"/>
              <w:rPr>
                <w:rStyle w:val="CharacterStyle1"/>
                <w:rFonts w:ascii="Calibri" w:hAnsi="Calibri" w:cs="Calibri"/>
                <w:b/>
                <w:sz w:val="20"/>
                <w:szCs w:val="16"/>
              </w:rPr>
            </w:pP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pacing w:val="-2"/>
                <w:sz w:val="16"/>
                <w:szCs w:val="16"/>
              </w:rPr>
            </w:pPr>
            <w:r>
              <w:rPr>
                <w:rStyle w:val="CharacterStyle1"/>
                <w:rFonts w:ascii="Calibri" w:hAnsi="Calibri" w:cs="Calibri"/>
                <w:spacing w:val="-2"/>
                <w:sz w:val="16"/>
                <w:szCs w:val="16"/>
              </w:rPr>
              <w:t>Provisions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pacing w:val="-2"/>
                <w:sz w:val="16"/>
                <w:szCs w:val="16"/>
              </w:rPr>
            </w:pPr>
            <w:r>
              <w:rPr>
                <w:rStyle w:val="CharacterStyle1"/>
                <w:rFonts w:ascii="Calibri" w:hAnsi="Calibri" w:cs="Calibri"/>
                <w:spacing w:val="-2"/>
                <w:sz w:val="16"/>
                <w:szCs w:val="16"/>
              </w:rPr>
              <w:t>Dettes financières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pacing w:val="-2"/>
                <w:sz w:val="16"/>
                <w:szCs w:val="16"/>
              </w:rPr>
            </w:pPr>
            <w:r>
              <w:rPr>
                <w:rStyle w:val="CharacterStyle1"/>
                <w:rFonts w:ascii="Calibri" w:hAnsi="Calibri" w:cs="Calibri"/>
                <w:spacing w:val="-2"/>
                <w:sz w:val="16"/>
                <w:szCs w:val="16"/>
              </w:rPr>
              <w:t>Fournisseurs et autres dettes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r>
              <w:rPr>
                <w:rStyle w:val="CharacterStyle2"/>
                <w:rFonts w:ascii="Calibri" w:eastAsiaTheme="majorEastAsia" w:hAnsi="Calibri" w:cs="Calibri"/>
                <w:sz w:val="16"/>
                <w:szCs w:val="16"/>
              </w:rPr>
              <w:t>Fournisseurs</w:t>
            </w: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pacing w:val="-2"/>
                <w:sz w:val="16"/>
                <w:szCs w:val="16"/>
              </w:rPr>
            </w:pPr>
            <w:r>
              <w:rPr>
                <w:rStyle w:val="CharacterStyle1"/>
                <w:rFonts w:ascii="Calibri" w:hAnsi="Calibri" w:cs="Calibri"/>
                <w:spacing w:val="-2"/>
                <w:sz w:val="16"/>
                <w:szCs w:val="16"/>
              </w:rPr>
              <w:t>Impôt exigible</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pacing w:val="-2"/>
                <w:sz w:val="16"/>
                <w:szCs w:val="16"/>
              </w:rPr>
            </w:pPr>
            <w:r>
              <w:rPr>
                <w:rStyle w:val="CharacterStyle1"/>
                <w:rFonts w:ascii="Calibri" w:hAnsi="Calibri" w:cs="Calibri"/>
                <w:spacing w:val="-2"/>
                <w:sz w:val="16"/>
                <w:szCs w:val="16"/>
              </w:rPr>
              <w:t>Autres dettes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r>
              <w:rPr>
                <w:rStyle w:val="CharacterStyle2"/>
                <w:rFonts w:ascii="Calibri" w:eastAsiaTheme="majorEastAsia" w:hAnsi="Calibri" w:cs="Calibri"/>
                <w:sz w:val="16"/>
                <w:szCs w:val="16"/>
              </w:rPr>
              <w:t>Autres dettes et coptes de régularisation</w:t>
            </w: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pacing w:val="-2"/>
                <w:sz w:val="16"/>
                <w:szCs w:val="16"/>
              </w:rPr>
            </w:pPr>
            <w:r>
              <w:rPr>
                <w:rStyle w:val="CharacterStyle1"/>
                <w:rFonts w:ascii="Calibri" w:hAnsi="Calibri" w:cs="Calibri"/>
                <w:spacing w:val="-2"/>
                <w:sz w:val="16"/>
                <w:szCs w:val="16"/>
              </w:rPr>
              <w:t>Instruments financiers dérivés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pacing w:val="-2"/>
                <w:sz w:val="16"/>
                <w:szCs w:val="16"/>
              </w:rPr>
            </w:pPr>
            <w:r>
              <w:rPr>
                <w:rStyle w:val="CharacterStyle1"/>
                <w:rFonts w:ascii="Calibri" w:hAnsi="Calibri" w:cs="Calibri"/>
                <w:spacing w:val="-2"/>
                <w:sz w:val="16"/>
                <w:szCs w:val="16"/>
              </w:rPr>
              <w:t>Passifs détenus en vue de la vente</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r>
      <w:tr w:rsidR="009B0114" w:rsidRPr="00A331DD"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A331DD" w:rsidRDefault="009B0114" w:rsidP="00B17386">
            <w:pPr>
              <w:pStyle w:val="Style10"/>
              <w:kinsoku w:val="0"/>
              <w:autoSpaceDE/>
              <w:autoSpaceDN/>
              <w:adjustRightInd/>
              <w:rPr>
                <w:rStyle w:val="CharacterStyle2"/>
                <w:rFonts w:ascii="Calibri" w:eastAsiaTheme="majorEastAsia" w:hAnsi="Calibri" w:cs="Calibri"/>
                <w:b/>
                <w:bCs/>
                <w:spacing w:val="-4"/>
                <w:szCs w:val="16"/>
              </w:rPr>
            </w:pPr>
            <w:r w:rsidRPr="00A331DD">
              <w:rPr>
                <w:rStyle w:val="CharacterStyle2"/>
                <w:rFonts w:ascii="Calibri" w:eastAsiaTheme="majorEastAsia" w:hAnsi="Calibri" w:cs="Calibri"/>
                <w:b/>
                <w:bCs/>
                <w:spacing w:val="-4"/>
                <w:szCs w:val="16"/>
              </w:rPr>
              <w:t>Total passif</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A331DD" w:rsidRDefault="009B0114" w:rsidP="00B17386">
            <w:pPr>
              <w:pStyle w:val="Style10"/>
              <w:kinsoku w:val="0"/>
              <w:autoSpaceDE/>
              <w:autoSpaceDN/>
              <w:adjustRightInd/>
              <w:rPr>
                <w:rStyle w:val="CharacterStyle2"/>
                <w:rFonts w:ascii="Calibri" w:eastAsiaTheme="majorEastAsia" w:hAnsi="Calibri" w:cs="Calibri"/>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A331DD" w:rsidRDefault="009B0114" w:rsidP="00B17386">
            <w:pPr>
              <w:pStyle w:val="Style10"/>
              <w:kinsoku w:val="0"/>
              <w:autoSpaceDE/>
              <w:autoSpaceDN/>
              <w:adjustRightInd/>
              <w:rPr>
                <w:rStyle w:val="CharacterStyle2"/>
                <w:rFonts w:ascii="Calibri" w:eastAsiaTheme="majorEastAsia" w:hAnsi="Calibri" w:cs="Calibri"/>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A331DD" w:rsidRDefault="009B0114" w:rsidP="00B17386">
            <w:pPr>
              <w:pStyle w:val="Style10"/>
              <w:kinsoku w:val="0"/>
              <w:autoSpaceDE/>
              <w:autoSpaceDN/>
              <w:adjustRightInd/>
              <w:rPr>
                <w:rStyle w:val="CharacterStyle2"/>
                <w:rFonts w:ascii="Calibri" w:eastAsiaTheme="majorEastAsia" w:hAnsi="Calibri" w:cs="Calibri"/>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A331DD" w:rsidRDefault="009B0114" w:rsidP="00B17386">
            <w:pPr>
              <w:pStyle w:val="Style10"/>
              <w:kinsoku w:val="0"/>
              <w:autoSpaceDE/>
              <w:autoSpaceDN/>
              <w:adjustRightInd/>
              <w:rPr>
                <w:rStyle w:val="CharacterStyle2"/>
                <w:rFonts w:ascii="Calibri" w:eastAsiaTheme="majorEastAsia" w:hAnsi="Calibri" w:cs="Calibri"/>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A331DD" w:rsidRDefault="009B0114" w:rsidP="00B17386">
            <w:pPr>
              <w:pStyle w:val="Style10"/>
              <w:kinsoku w:val="0"/>
              <w:autoSpaceDE/>
              <w:autoSpaceDN/>
              <w:adjustRightInd/>
              <w:rPr>
                <w:rStyle w:val="CharacterStyle2"/>
                <w:rFonts w:ascii="Calibri" w:eastAsiaTheme="majorEastAsia" w:hAnsi="Calibri" w:cs="Calibri"/>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A331DD" w:rsidRDefault="009B0114" w:rsidP="00B17386">
            <w:pPr>
              <w:pStyle w:val="Style10"/>
              <w:kinsoku w:val="0"/>
              <w:autoSpaceDE/>
              <w:autoSpaceDN/>
              <w:adjustRightInd/>
              <w:rPr>
                <w:rStyle w:val="CharacterStyle2"/>
                <w:rFonts w:ascii="Calibri" w:eastAsiaTheme="majorEastAsia" w:hAnsi="Calibri" w:cs="Calibri"/>
                <w:b/>
                <w:bCs/>
                <w:spacing w:val="-4"/>
                <w:szCs w:val="16"/>
              </w:rPr>
            </w:pPr>
            <w:r w:rsidRPr="00A331DD">
              <w:rPr>
                <w:rStyle w:val="CharacterStyle2"/>
                <w:rFonts w:ascii="Calibri" w:eastAsiaTheme="majorEastAsia" w:hAnsi="Calibri" w:cs="Calibri"/>
                <w:b/>
                <w:bCs/>
                <w:spacing w:val="-4"/>
                <w:szCs w:val="16"/>
              </w:rPr>
              <w:t>Total passif</w:t>
            </w:r>
          </w:p>
        </w:tc>
      </w:tr>
    </w:tbl>
    <w:p w:rsidR="009B0114" w:rsidRDefault="009B0114" w:rsidP="009B0114">
      <w:pPr>
        <w:pStyle w:val="CACCorps"/>
        <w:rPr>
          <w:rFonts w:asciiTheme="minorHAnsi" w:eastAsia="Arial Unicode MS" w:hAnsiTheme="minorHAnsi" w:cs="Times New Roman"/>
          <w:noProof/>
          <w:szCs w:val="20"/>
          <w:lang w:eastAsia="fr-FR"/>
        </w:rPr>
      </w:pPr>
    </w:p>
    <w:p w:rsidR="009B0114" w:rsidRDefault="009B0114" w:rsidP="009B0114">
      <w:pPr>
        <w:pStyle w:val="CACCorps"/>
        <w:rPr>
          <w:rFonts w:asciiTheme="minorHAnsi" w:eastAsia="Arial Unicode MS" w:hAnsiTheme="minorHAnsi" w:cs="Times New Roman"/>
          <w:noProof/>
          <w:szCs w:val="20"/>
          <w:lang w:eastAsia="fr-FR"/>
        </w:rPr>
      </w:pPr>
    </w:p>
    <w:p w:rsidR="009B0114" w:rsidRDefault="009B0114" w:rsidP="009B0114">
      <w:pPr>
        <w:pStyle w:val="CACCorps"/>
        <w:rPr>
          <w:rFonts w:asciiTheme="minorHAnsi" w:eastAsia="Arial Unicode MS" w:hAnsiTheme="minorHAnsi" w:cs="Times New Roman"/>
          <w:noProof/>
          <w:szCs w:val="20"/>
          <w:lang w:eastAsia="fr-FR"/>
        </w:rPr>
      </w:pPr>
    </w:p>
    <w:p w:rsidR="009B0114" w:rsidRDefault="009B0114" w:rsidP="009B0114">
      <w:pPr>
        <w:pStyle w:val="CACCorps"/>
        <w:rPr>
          <w:rFonts w:asciiTheme="minorHAnsi" w:eastAsia="Arial Unicode MS" w:hAnsiTheme="minorHAnsi" w:cs="Times New Roman"/>
          <w:noProof/>
          <w:szCs w:val="20"/>
          <w:lang w:eastAsia="fr-FR"/>
        </w:rPr>
      </w:pPr>
    </w:p>
    <w:p w:rsidR="009B0114" w:rsidRDefault="009B0114" w:rsidP="009B0114">
      <w:pPr>
        <w:pStyle w:val="CACCorps"/>
        <w:rPr>
          <w:rFonts w:asciiTheme="minorHAnsi" w:eastAsia="Arial Unicode MS" w:hAnsiTheme="minorHAnsi" w:cs="Times New Roman"/>
          <w:noProof/>
          <w:szCs w:val="20"/>
          <w:lang w:eastAsia="fr-FR"/>
        </w:rPr>
      </w:pPr>
    </w:p>
    <w:p w:rsidR="009B0114" w:rsidRDefault="009B0114" w:rsidP="009B0114">
      <w:pPr>
        <w:pStyle w:val="CACCorps"/>
        <w:rPr>
          <w:rFonts w:asciiTheme="minorHAnsi" w:eastAsia="Arial Unicode MS" w:hAnsiTheme="minorHAnsi" w:cs="Times New Roman"/>
          <w:noProof/>
          <w:szCs w:val="20"/>
          <w:lang w:eastAsia="fr-FR"/>
        </w:rPr>
      </w:pPr>
    </w:p>
    <w:p w:rsidR="009B0114" w:rsidRDefault="009B0114" w:rsidP="009B0114">
      <w:pPr>
        <w:pStyle w:val="CACCorps"/>
        <w:rPr>
          <w:rFonts w:asciiTheme="minorHAnsi" w:eastAsia="Arial Unicode MS" w:hAnsiTheme="minorHAnsi" w:cs="Times New Roman"/>
          <w:noProof/>
          <w:szCs w:val="20"/>
          <w:lang w:eastAsia="fr-FR"/>
        </w:rPr>
      </w:pPr>
    </w:p>
    <w:p w:rsidR="009B0114" w:rsidRDefault="009B0114" w:rsidP="009B0114">
      <w:pPr>
        <w:pStyle w:val="CACCorps"/>
        <w:rPr>
          <w:rFonts w:asciiTheme="minorHAnsi" w:eastAsia="Arial Unicode MS" w:hAnsiTheme="minorHAnsi" w:cs="Times New Roman"/>
          <w:noProof/>
          <w:szCs w:val="20"/>
          <w:lang w:eastAsia="fr-FR"/>
        </w:rPr>
      </w:pPr>
    </w:p>
    <w:p w:rsidR="009B0114" w:rsidRDefault="009B0114" w:rsidP="009B0114">
      <w:pPr>
        <w:pStyle w:val="CACCorps"/>
        <w:rPr>
          <w:rFonts w:asciiTheme="minorHAnsi" w:eastAsia="Arial Unicode MS" w:hAnsiTheme="minorHAnsi" w:cs="Times New Roman"/>
          <w:noProof/>
          <w:szCs w:val="20"/>
          <w:lang w:eastAsia="fr-FR"/>
        </w:rPr>
      </w:pPr>
    </w:p>
    <w:p w:rsidR="009B0114" w:rsidRPr="00182A00" w:rsidRDefault="009B0114" w:rsidP="009B0114">
      <w:pPr>
        <w:pStyle w:val="CACTitre3"/>
        <w:rPr>
          <w:lang w:eastAsia="fr-FR"/>
        </w:rPr>
      </w:pPr>
      <w:bookmarkStart w:id="75" w:name="_Toc291776997"/>
      <w:bookmarkStart w:id="76" w:name="_Toc452390498"/>
      <w:r w:rsidRPr="00182A00">
        <w:rPr>
          <w:lang w:eastAsia="fr-FR"/>
        </w:rPr>
        <w:lastRenderedPageBreak/>
        <w:t>Tableau de retraitement du compte de résultat à la date de clôture de l'exercice N-1 (classement des charges et produits par nature)</w:t>
      </w:r>
      <w:bookmarkEnd w:id="75"/>
      <w:bookmarkEnd w:id="76"/>
    </w:p>
    <w:p w:rsidR="009B0114" w:rsidRDefault="009B0114" w:rsidP="009B0114">
      <w:pPr>
        <w:pStyle w:val="CACCorps"/>
        <w:rPr>
          <w:rFonts w:eastAsia="Arial Unicode MS" w:cs="Times New Roman"/>
          <w:szCs w:val="20"/>
          <w:lang w:eastAsia="fr-FR"/>
        </w:rPr>
      </w:pPr>
    </w:p>
    <w:tbl>
      <w:tblPr>
        <w:tblW w:w="9734" w:type="dxa"/>
        <w:tblInd w:w="61" w:type="dxa"/>
        <w:tblLayout w:type="fixed"/>
        <w:tblCellMar>
          <w:left w:w="0" w:type="dxa"/>
          <w:right w:w="0" w:type="dxa"/>
        </w:tblCellMar>
        <w:tblLook w:val="0000" w:firstRow="0" w:lastRow="0" w:firstColumn="0" w:lastColumn="0" w:noHBand="0" w:noVBand="0"/>
      </w:tblPr>
      <w:tblGrid>
        <w:gridCol w:w="2363"/>
        <w:gridCol w:w="992"/>
        <w:gridCol w:w="1418"/>
        <w:gridCol w:w="1134"/>
        <w:gridCol w:w="1559"/>
        <w:gridCol w:w="709"/>
        <w:gridCol w:w="1559"/>
      </w:tblGrid>
      <w:tr w:rsidR="009B0114" w:rsidRPr="00A331DD" w:rsidTr="00B17386">
        <w:trPr>
          <w:cantSplit/>
          <w:trHeight w:hRule="exact" w:val="829"/>
          <w:tblHeader/>
        </w:trPr>
        <w:tc>
          <w:tcPr>
            <w:tcW w:w="2363" w:type="dxa"/>
            <w:tcBorders>
              <w:top w:val="single" w:sz="11" w:space="0" w:color="auto"/>
              <w:left w:val="single" w:sz="11" w:space="0" w:color="auto"/>
              <w:bottom w:val="single" w:sz="11" w:space="0" w:color="auto"/>
              <w:right w:val="single" w:sz="11" w:space="0" w:color="auto"/>
            </w:tcBorders>
            <w:shd w:val="clear" w:color="auto" w:fill="666666" w:themeFill="text2"/>
            <w:vAlign w:val="center"/>
          </w:tcPr>
          <w:p w:rsidR="009B0114" w:rsidRPr="00A331DD" w:rsidRDefault="009B0114" w:rsidP="00B17386">
            <w:pPr>
              <w:pStyle w:val="Style10"/>
              <w:kinsoku w:val="0"/>
              <w:autoSpaceDE/>
              <w:autoSpaceDN/>
              <w:adjustRightInd/>
              <w:jc w:val="center"/>
              <w:rPr>
                <w:rStyle w:val="CharacterStyle2"/>
                <w:rFonts w:ascii="Calibri" w:eastAsiaTheme="majorEastAsia" w:hAnsi="Calibri" w:cs="Calibri"/>
                <w:b/>
                <w:bCs/>
                <w:color w:val="FFFFFF" w:themeColor="background1"/>
                <w:spacing w:val="4"/>
                <w:sz w:val="18"/>
                <w:szCs w:val="16"/>
              </w:rPr>
            </w:pPr>
            <w:r w:rsidRPr="00A331DD">
              <w:rPr>
                <w:rStyle w:val="CharacterStyle2"/>
                <w:rFonts w:ascii="Calibri" w:eastAsiaTheme="majorEastAsia" w:hAnsi="Calibri" w:cs="Calibri"/>
                <w:b/>
                <w:bCs/>
                <w:color w:val="FFFFFF" w:themeColor="background1"/>
                <w:spacing w:val="4"/>
                <w:sz w:val="18"/>
                <w:szCs w:val="16"/>
              </w:rPr>
              <w:t>Éléments du bilan</w:t>
            </w:r>
            <w:r w:rsidRPr="00A331DD">
              <w:rPr>
                <w:rStyle w:val="CharacterStyle2"/>
                <w:rFonts w:ascii="Calibri" w:eastAsiaTheme="majorEastAsia" w:hAnsi="Calibri" w:cs="Calibri"/>
                <w:b/>
                <w:bCs/>
                <w:color w:val="FFFFFF" w:themeColor="background1"/>
                <w:spacing w:val="4"/>
                <w:sz w:val="18"/>
                <w:szCs w:val="16"/>
              </w:rPr>
              <w:br/>
              <w:t>en normes IFRS</w:t>
            </w:r>
          </w:p>
        </w:tc>
        <w:tc>
          <w:tcPr>
            <w:tcW w:w="992" w:type="dxa"/>
            <w:tcBorders>
              <w:top w:val="single" w:sz="11" w:space="0" w:color="auto"/>
              <w:left w:val="single" w:sz="11" w:space="0" w:color="auto"/>
              <w:bottom w:val="single" w:sz="11" w:space="0" w:color="auto"/>
              <w:right w:val="single" w:sz="11" w:space="0" w:color="auto"/>
            </w:tcBorders>
            <w:shd w:val="clear" w:color="auto" w:fill="666666" w:themeFill="text2"/>
            <w:vAlign w:val="center"/>
          </w:tcPr>
          <w:p w:rsidR="009B0114" w:rsidRPr="00A331DD" w:rsidRDefault="009B0114" w:rsidP="00B17386">
            <w:pPr>
              <w:pStyle w:val="Style10"/>
              <w:kinsoku w:val="0"/>
              <w:autoSpaceDE/>
              <w:autoSpaceDN/>
              <w:adjustRightInd/>
              <w:jc w:val="center"/>
              <w:rPr>
                <w:rStyle w:val="CharacterStyle2"/>
                <w:rFonts w:ascii="Calibri" w:eastAsiaTheme="majorEastAsia" w:hAnsi="Calibri" w:cs="Calibri"/>
                <w:b/>
                <w:bCs/>
                <w:color w:val="FFFFFF" w:themeColor="background1"/>
                <w:sz w:val="18"/>
                <w:szCs w:val="16"/>
              </w:rPr>
            </w:pPr>
            <w:r w:rsidRPr="00A331DD">
              <w:rPr>
                <w:rStyle w:val="CharacterStyle2"/>
                <w:rFonts w:ascii="Calibri" w:eastAsiaTheme="majorEastAsia" w:hAnsi="Calibri" w:cs="Calibri"/>
                <w:b/>
                <w:bCs/>
                <w:color w:val="FFFFFF" w:themeColor="background1"/>
                <w:spacing w:val="2"/>
                <w:sz w:val="18"/>
                <w:szCs w:val="16"/>
              </w:rPr>
              <w:t>Exercice N-1</w:t>
            </w:r>
            <w:r w:rsidRPr="00A331DD">
              <w:rPr>
                <w:rStyle w:val="CharacterStyle2"/>
                <w:rFonts w:ascii="Calibri" w:eastAsiaTheme="majorEastAsia" w:hAnsi="Calibri" w:cs="Calibri"/>
                <w:b/>
                <w:bCs/>
                <w:color w:val="FFFFFF" w:themeColor="background1"/>
                <w:spacing w:val="2"/>
                <w:sz w:val="18"/>
                <w:szCs w:val="16"/>
              </w:rPr>
              <w:br/>
            </w:r>
            <w:r w:rsidRPr="00A331DD">
              <w:rPr>
                <w:rStyle w:val="CharacterStyle2"/>
                <w:rFonts w:ascii="Calibri" w:eastAsiaTheme="majorEastAsia" w:hAnsi="Calibri" w:cs="Calibri"/>
                <w:b/>
                <w:bCs/>
                <w:color w:val="FFFFFF" w:themeColor="background1"/>
                <w:sz w:val="18"/>
                <w:szCs w:val="16"/>
              </w:rPr>
              <w:t>en normes</w:t>
            </w:r>
            <w:r w:rsidRPr="00A331DD">
              <w:rPr>
                <w:rStyle w:val="CharacterStyle2"/>
                <w:rFonts w:eastAsiaTheme="majorEastAsia" w:cs="Calibri"/>
                <w:b/>
                <w:bCs/>
                <w:color w:val="FFFFFF" w:themeColor="background1"/>
                <w:sz w:val="18"/>
                <w:szCs w:val="16"/>
              </w:rPr>
              <w:t xml:space="preserve"> </w:t>
            </w:r>
            <w:r w:rsidRPr="00A331DD">
              <w:rPr>
                <w:rStyle w:val="CharacterStyle2"/>
                <w:rFonts w:ascii="Calibri" w:eastAsiaTheme="majorEastAsia" w:hAnsi="Calibri" w:cs="Calibri"/>
                <w:b/>
                <w:bCs/>
                <w:color w:val="FFFFFF" w:themeColor="background1"/>
                <w:sz w:val="18"/>
                <w:szCs w:val="16"/>
              </w:rPr>
              <w:t>IFRS</w:t>
            </w:r>
          </w:p>
        </w:tc>
        <w:tc>
          <w:tcPr>
            <w:tcW w:w="1418" w:type="dxa"/>
            <w:tcBorders>
              <w:top w:val="single" w:sz="11" w:space="0" w:color="auto"/>
              <w:left w:val="single" w:sz="11" w:space="0" w:color="auto"/>
              <w:bottom w:val="single" w:sz="11" w:space="0" w:color="auto"/>
              <w:right w:val="single" w:sz="11" w:space="0" w:color="auto"/>
            </w:tcBorders>
            <w:shd w:val="clear" w:color="auto" w:fill="666666" w:themeFill="text2"/>
            <w:vAlign w:val="center"/>
          </w:tcPr>
          <w:p w:rsidR="009B0114" w:rsidRPr="00A331DD" w:rsidRDefault="009B0114" w:rsidP="00B17386">
            <w:pPr>
              <w:pStyle w:val="Style10"/>
              <w:kinsoku w:val="0"/>
              <w:autoSpaceDE/>
              <w:autoSpaceDN/>
              <w:adjustRightInd/>
              <w:jc w:val="center"/>
              <w:rPr>
                <w:rStyle w:val="CharacterStyle2"/>
                <w:rFonts w:ascii="Calibri" w:eastAsiaTheme="majorEastAsia" w:hAnsi="Calibri" w:cs="Calibri"/>
                <w:b/>
                <w:bCs/>
                <w:color w:val="FFFFFF" w:themeColor="background1"/>
                <w:spacing w:val="6"/>
                <w:sz w:val="18"/>
                <w:szCs w:val="16"/>
              </w:rPr>
            </w:pPr>
            <w:r w:rsidRPr="00A331DD">
              <w:rPr>
                <w:rStyle w:val="CharacterStyle2"/>
                <w:rFonts w:ascii="Calibri" w:eastAsiaTheme="majorEastAsia" w:hAnsi="Calibri" w:cs="Calibri"/>
                <w:b/>
                <w:bCs/>
                <w:color w:val="FFFFFF" w:themeColor="background1"/>
                <w:spacing w:val="6"/>
                <w:sz w:val="18"/>
                <w:szCs w:val="16"/>
              </w:rPr>
              <w:t>Reclassements</w:t>
            </w:r>
          </w:p>
        </w:tc>
        <w:tc>
          <w:tcPr>
            <w:tcW w:w="1134" w:type="dxa"/>
            <w:tcBorders>
              <w:top w:val="single" w:sz="11" w:space="0" w:color="auto"/>
              <w:left w:val="single" w:sz="11" w:space="0" w:color="auto"/>
              <w:bottom w:val="single" w:sz="11" w:space="0" w:color="auto"/>
              <w:right w:val="single" w:sz="11" w:space="0" w:color="auto"/>
            </w:tcBorders>
            <w:shd w:val="clear" w:color="auto" w:fill="666666" w:themeFill="text2"/>
            <w:vAlign w:val="center"/>
          </w:tcPr>
          <w:p w:rsidR="009B0114" w:rsidRPr="00A331DD" w:rsidRDefault="009B0114" w:rsidP="00B17386">
            <w:pPr>
              <w:pStyle w:val="Style10"/>
              <w:kinsoku w:val="0"/>
              <w:autoSpaceDE/>
              <w:autoSpaceDN/>
              <w:adjustRightInd/>
              <w:jc w:val="center"/>
              <w:rPr>
                <w:rStyle w:val="CharacterStyle2"/>
                <w:rFonts w:ascii="Calibri" w:eastAsiaTheme="majorEastAsia" w:hAnsi="Calibri" w:cs="Calibri"/>
                <w:b/>
                <w:bCs/>
                <w:color w:val="FFFFFF" w:themeColor="background1"/>
                <w:sz w:val="18"/>
                <w:szCs w:val="16"/>
              </w:rPr>
            </w:pPr>
            <w:r w:rsidRPr="00A331DD">
              <w:rPr>
                <w:rStyle w:val="CharacterStyle2"/>
                <w:rFonts w:ascii="Calibri" w:eastAsiaTheme="majorEastAsia" w:hAnsi="Calibri" w:cs="Calibri"/>
                <w:b/>
                <w:bCs/>
                <w:color w:val="FFFFFF" w:themeColor="background1"/>
                <w:sz w:val="18"/>
                <w:szCs w:val="16"/>
              </w:rPr>
              <w:t>Retraitements</w:t>
            </w:r>
          </w:p>
        </w:tc>
        <w:tc>
          <w:tcPr>
            <w:tcW w:w="1559" w:type="dxa"/>
            <w:tcBorders>
              <w:top w:val="single" w:sz="11" w:space="0" w:color="auto"/>
              <w:left w:val="single" w:sz="11" w:space="0" w:color="auto"/>
              <w:bottom w:val="single" w:sz="11" w:space="0" w:color="auto"/>
              <w:right w:val="single" w:sz="11" w:space="0" w:color="auto"/>
            </w:tcBorders>
            <w:shd w:val="clear" w:color="auto" w:fill="666666" w:themeFill="text2"/>
            <w:vAlign w:val="center"/>
          </w:tcPr>
          <w:p w:rsidR="009B0114" w:rsidRPr="00A331DD" w:rsidRDefault="009B0114" w:rsidP="00B17386">
            <w:pPr>
              <w:pStyle w:val="Style10"/>
              <w:kinsoku w:val="0"/>
              <w:autoSpaceDE/>
              <w:autoSpaceDN/>
              <w:adjustRightInd/>
              <w:jc w:val="center"/>
              <w:rPr>
                <w:rStyle w:val="CharacterStyle2"/>
                <w:rFonts w:ascii="Calibri" w:eastAsiaTheme="majorEastAsia" w:hAnsi="Calibri" w:cs="Calibri"/>
                <w:b/>
                <w:bCs/>
                <w:color w:val="FFFFFF" w:themeColor="background1"/>
                <w:spacing w:val="4"/>
                <w:sz w:val="18"/>
                <w:szCs w:val="16"/>
              </w:rPr>
            </w:pPr>
            <w:r w:rsidRPr="00A331DD">
              <w:rPr>
                <w:rStyle w:val="CharacterStyle2"/>
                <w:rFonts w:ascii="Calibri" w:eastAsiaTheme="majorEastAsia" w:hAnsi="Calibri" w:cs="Calibri"/>
                <w:b/>
                <w:bCs/>
                <w:color w:val="FFFFFF" w:themeColor="background1"/>
                <w:spacing w:val="2"/>
                <w:sz w:val="18"/>
                <w:szCs w:val="16"/>
              </w:rPr>
              <w:t>Exercice N-1</w:t>
            </w:r>
            <w:r w:rsidRPr="00A331DD">
              <w:rPr>
                <w:rStyle w:val="CharacterStyle2"/>
                <w:rFonts w:eastAsiaTheme="majorEastAsia" w:cs="Calibri"/>
                <w:b/>
                <w:bCs/>
                <w:color w:val="FFFFFF" w:themeColor="background1"/>
                <w:spacing w:val="2"/>
                <w:sz w:val="18"/>
                <w:szCs w:val="16"/>
              </w:rPr>
              <w:br/>
            </w:r>
            <w:r w:rsidRPr="00A331DD">
              <w:rPr>
                <w:rStyle w:val="CharacterStyle2"/>
                <w:rFonts w:eastAsiaTheme="majorEastAsia" w:cs="Calibri"/>
                <w:b/>
                <w:bCs/>
                <w:color w:val="FFFFFF" w:themeColor="background1"/>
                <w:sz w:val="18"/>
                <w:szCs w:val="16"/>
              </w:rPr>
              <w:t>Retraité</w:t>
            </w:r>
            <w:r w:rsidRPr="00A331DD">
              <w:rPr>
                <w:rStyle w:val="CharacterStyle2"/>
                <w:rFonts w:eastAsiaTheme="majorEastAsia" w:cs="Calibri"/>
                <w:b/>
                <w:bCs/>
                <w:color w:val="FFFFFF" w:themeColor="background1"/>
                <w:sz w:val="18"/>
                <w:szCs w:val="16"/>
              </w:rPr>
              <w:br/>
            </w:r>
            <w:r w:rsidRPr="00A331DD">
              <w:rPr>
                <w:rStyle w:val="CharacterStyle2"/>
                <w:rFonts w:ascii="Calibri" w:eastAsiaTheme="majorEastAsia" w:hAnsi="Calibri" w:cs="Calibri"/>
                <w:b/>
                <w:bCs/>
                <w:color w:val="FFFFFF" w:themeColor="background1"/>
                <w:sz w:val="18"/>
                <w:szCs w:val="16"/>
              </w:rPr>
              <w:t>en règles</w:t>
            </w:r>
            <w:r w:rsidRPr="00A331DD">
              <w:rPr>
                <w:rStyle w:val="CharacterStyle2"/>
                <w:rFonts w:eastAsiaTheme="majorEastAsia" w:cs="Calibri"/>
                <w:b/>
                <w:bCs/>
                <w:color w:val="FFFFFF" w:themeColor="background1"/>
                <w:sz w:val="18"/>
                <w:szCs w:val="16"/>
              </w:rPr>
              <w:t xml:space="preserve"> </w:t>
            </w:r>
            <w:r w:rsidRPr="00A331DD">
              <w:rPr>
                <w:rStyle w:val="CharacterStyle2"/>
                <w:rFonts w:ascii="Calibri" w:eastAsiaTheme="majorEastAsia" w:hAnsi="Calibri" w:cs="Calibri"/>
                <w:b/>
                <w:bCs/>
                <w:color w:val="FFFFFF" w:themeColor="background1"/>
                <w:spacing w:val="4"/>
                <w:sz w:val="18"/>
                <w:szCs w:val="16"/>
              </w:rPr>
              <w:t>françaises</w:t>
            </w:r>
          </w:p>
        </w:tc>
        <w:tc>
          <w:tcPr>
            <w:tcW w:w="709" w:type="dxa"/>
            <w:tcBorders>
              <w:top w:val="single" w:sz="11" w:space="0" w:color="auto"/>
              <w:left w:val="single" w:sz="11" w:space="0" w:color="auto"/>
              <w:bottom w:val="single" w:sz="11" w:space="0" w:color="auto"/>
              <w:right w:val="single" w:sz="11" w:space="0" w:color="auto"/>
            </w:tcBorders>
            <w:shd w:val="clear" w:color="auto" w:fill="666666" w:themeFill="text2"/>
            <w:vAlign w:val="center"/>
          </w:tcPr>
          <w:p w:rsidR="009B0114" w:rsidRPr="00A331DD" w:rsidRDefault="009B0114" w:rsidP="00B17386">
            <w:pPr>
              <w:pStyle w:val="Style10"/>
              <w:kinsoku w:val="0"/>
              <w:autoSpaceDE/>
              <w:autoSpaceDN/>
              <w:adjustRightInd/>
              <w:jc w:val="center"/>
              <w:rPr>
                <w:rStyle w:val="CharacterStyle2"/>
                <w:rFonts w:ascii="Calibri" w:eastAsiaTheme="majorEastAsia" w:hAnsi="Calibri" w:cs="Calibri"/>
                <w:b/>
                <w:bCs/>
                <w:color w:val="FFFFFF" w:themeColor="background1"/>
                <w:sz w:val="18"/>
                <w:szCs w:val="16"/>
              </w:rPr>
            </w:pPr>
            <w:r w:rsidRPr="00A331DD">
              <w:rPr>
                <w:rStyle w:val="CharacterStyle2"/>
                <w:rFonts w:ascii="Calibri" w:eastAsiaTheme="majorEastAsia" w:hAnsi="Calibri" w:cs="Calibri"/>
                <w:b/>
                <w:bCs/>
                <w:color w:val="FFFFFF" w:themeColor="background1"/>
                <w:sz w:val="18"/>
                <w:szCs w:val="16"/>
              </w:rPr>
              <w:t>Note</w:t>
            </w:r>
          </w:p>
        </w:tc>
        <w:tc>
          <w:tcPr>
            <w:tcW w:w="1559" w:type="dxa"/>
            <w:tcBorders>
              <w:top w:val="single" w:sz="11" w:space="0" w:color="auto"/>
              <w:left w:val="single" w:sz="11" w:space="0" w:color="auto"/>
              <w:bottom w:val="single" w:sz="11" w:space="0" w:color="auto"/>
              <w:right w:val="single" w:sz="11" w:space="0" w:color="auto"/>
            </w:tcBorders>
            <w:shd w:val="clear" w:color="auto" w:fill="666666" w:themeFill="text2"/>
            <w:vAlign w:val="center"/>
          </w:tcPr>
          <w:p w:rsidR="009B0114" w:rsidRPr="00A331DD" w:rsidRDefault="009B0114" w:rsidP="00B17386">
            <w:pPr>
              <w:pStyle w:val="Style10"/>
              <w:kinsoku w:val="0"/>
              <w:autoSpaceDE/>
              <w:autoSpaceDN/>
              <w:adjustRightInd/>
              <w:jc w:val="center"/>
              <w:rPr>
                <w:rStyle w:val="CharacterStyle2"/>
                <w:rFonts w:ascii="Calibri" w:eastAsiaTheme="majorEastAsia" w:hAnsi="Calibri" w:cs="Calibri"/>
                <w:b/>
                <w:bCs/>
                <w:color w:val="FFFFFF" w:themeColor="background1"/>
                <w:spacing w:val="4"/>
                <w:sz w:val="18"/>
                <w:szCs w:val="16"/>
              </w:rPr>
            </w:pPr>
            <w:r w:rsidRPr="00A331DD">
              <w:rPr>
                <w:rStyle w:val="CharacterStyle2"/>
                <w:rFonts w:ascii="Calibri" w:eastAsiaTheme="majorEastAsia" w:hAnsi="Calibri" w:cs="Calibri"/>
                <w:b/>
                <w:bCs/>
                <w:color w:val="FFFFFF" w:themeColor="background1"/>
                <w:spacing w:val="2"/>
                <w:sz w:val="18"/>
                <w:szCs w:val="16"/>
              </w:rPr>
              <w:t>Éléments du bilan</w:t>
            </w:r>
            <w:r w:rsidRPr="00A331DD">
              <w:rPr>
                <w:rStyle w:val="CharacterStyle2"/>
                <w:rFonts w:ascii="Calibri" w:eastAsiaTheme="majorEastAsia" w:hAnsi="Calibri" w:cs="Calibri"/>
                <w:b/>
                <w:bCs/>
                <w:color w:val="FFFFFF" w:themeColor="background1"/>
                <w:spacing w:val="2"/>
                <w:sz w:val="18"/>
                <w:szCs w:val="16"/>
              </w:rPr>
              <w:br/>
            </w:r>
            <w:r w:rsidRPr="00A331DD">
              <w:rPr>
                <w:rStyle w:val="CharacterStyle2"/>
                <w:rFonts w:ascii="Calibri" w:eastAsiaTheme="majorEastAsia" w:hAnsi="Calibri" w:cs="Calibri"/>
                <w:b/>
                <w:bCs/>
                <w:color w:val="FFFFFF" w:themeColor="background1"/>
                <w:sz w:val="18"/>
                <w:szCs w:val="16"/>
              </w:rPr>
              <w:t>en règles</w:t>
            </w:r>
            <w:r w:rsidRPr="00A331DD">
              <w:rPr>
                <w:rStyle w:val="CharacterStyle2"/>
                <w:rFonts w:eastAsiaTheme="majorEastAsia" w:cs="Calibri"/>
                <w:b/>
                <w:bCs/>
                <w:color w:val="FFFFFF" w:themeColor="background1"/>
                <w:sz w:val="18"/>
                <w:szCs w:val="16"/>
              </w:rPr>
              <w:t xml:space="preserve"> </w:t>
            </w:r>
            <w:r w:rsidRPr="00A331DD">
              <w:rPr>
                <w:rStyle w:val="CharacterStyle2"/>
                <w:rFonts w:ascii="Calibri" w:eastAsiaTheme="majorEastAsia" w:hAnsi="Calibri" w:cs="Calibri"/>
                <w:b/>
                <w:bCs/>
                <w:color w:val="FFFFFF" w:themeColor="background1"/>
                <w:spacing w:val="4"/>
                <w:sz w:val="18"/>
                <w:szCs w:val="16"/>
              </w:rPr>
              <w:t>françaises</w:t>
            </w: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pacing w:val="-3"/>
                <w:sz w:val="16"/>
                <w:szCs w:val="16"/>
              </w:rPr>
            </w:pPr>
            <w:r>
              <w:rPr>
                <w:rStyle w:val="CharacterStyle2"/>
                <w:rFonts w:ascii="Calibri" w:eastAsiaTheme="majorEastAsia" w:hAnsi="Calibri" w:cs="Calibri"/>
                <w:spacing w:val="-3"/>
                <w:sz w:val="16"/>
                <w:szCs w:val="16"/>
              </w:rPr>
              <w:t>Chiffre d’affaires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jc w:val="center"/>
              <w:rPr>
                <w:rStyle w:val="CharacterStyle2"/>
                <w:rFonts w:ascii="Calibri" w:eastAsiaTheme="majorEastAsia" w:hAnsi="Calibri" w:cs="Calibri"/>
                <w:sz w:val="16"/>
                <w:szCs w:val="16"/>
              </w:rPr>
            </w:pPr>
            <w:r>
              <w:rPr>
                <w:rStyle w:val="CharacterStyle2"/>
                <w:rFonts w:ascii="Calibri" w:eastAsiaTheme="majorEastAsia" w:hAnsi="Calibri" w:cs="Calibri"/>
                <w:sz w:val="16"/>
                <w:szCs w:val="16"/>
              </w:rPr>
              <w:t>1</w:t>
            </w: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z w:val="16"/>
                <w:szCs w:val="16"/>
              </w:rPr>
            </w:pPr>
            <w:r>
              <w:rPr>
                <w:rStyle w:val="CharacterStyle1"/>
                <w:rFonts w:ascii="Calibri" w:hAnsi="Calibri" w:cs="Calibri"/>
                <w:sz w:val="16"/>
                <w:szCs w:val="16"/>
              </w:rPr>
              <w:t>Chiffre d’affaires</w:t>
            </w:r>
          </w:p>
        </w:tc>
      </w:tr>
      <w:tr w:rsidR="009B0114" w:rsidRPr="009872C5" w:rsidTr="00B17386">
        <w:trPr>
          <w:trHeight w:hRule="exact" w:val="63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pacing w:val="-2"/>
                <w:sz w:val="16"/>
                <w:szCs w:val="16"/>
              </w:rPr>
            </w:pPr>
            <w:r>
              <w:rPr>
                <w:rStyle w:val="CharacterStyle2"/>
                <w:rFonts w:ascii="Calibri" w:eastAsiaTheme="majorEastAsia" w:hAnsi="Calibri" w:cs="Calibri"/>
                <w:spacing w:val="-2"/>
                <w:sz w:val="16"/>
                <w:szCs w:val="16"/>
              </w:rPr>
              <w:t>Autres produits de l’activité</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jc w:val="center"/>
              <w:rPr>
                <w:rStyle w:val="CharacterStyle2"/>
                <w:rFonts w:ascii="Calibri" w:eastAsiaTheme="majorEastAsia" w:hAnsi="Calibri" w:cs="Calibri"/>
                <w:sz w:val="16"/>
                <w:szCs w:val="16"/>
              </w:rPr>
            </w:pPr>
            <w:r>
              <w:rPr>
                <w:rStyle w:val="CharacterStyle2"/>
                <w:rFonts w:ascii="Calibri" w:eastAsiaTheme="majorEastAsia" w:hAnsi="Calibri" w:cs="Calibri"/>
                <w:sz w:val="16"/>
                <w:szCs w:val="16"/>
              </w:rPr>
              <w:t>2</w:t>
            </w: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pacing w:val="-2"/>
                <w:sz w:val="16"/>
                <w:szCs w:val="16"/>
              </w:rPr>
            </w:pPr>
            <w:r>
              <w:rPr>
                <w:rStyle w:val="CharacterStyle2"/>
                <w:rFonts w:ascii="Calibri" w:eastAsiaTheme="majorEastAsia" w:hAnsi="Calibri" w:cs="Calibri"/>
                <w:spacing w:val="-2"/>
                <w:sz w:val="16"/>
                <w:szCs w:val="16"/>
              </w:rPr>
              <w:t>Autres produits d’exploitation</w:t>
            </w: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pacing w:val="-2"/>
                <w:sz w:val="16"/>
                <w:szCs w:val="16"/>
              </w:rPr>
            </w:pPr>
            <w:r>
              <w:rPr>
                <w:rStyle w:val="CharacterStyle1"/>
                <w:rFonts w:ascii="Calibri" w:hAnsi="Calibri" w:cs="Calibri"/>
                <w:spacing w:val="-2"/>
                <w:sz w:val="16"/>
                <w:szCs w:val="16"/>
              </w:rPr>
              <w:t>Achats consommés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jc w:val="center"/>
              <w:rPr>
                <w:rStyle w:val="CharacterStyle2"/>
                <w:rFonts w:ascii="Calibri" w:eastAsiaTheme="majorEastAsia" w:hAnsi="Calibri" w:cs="Calibri"/>
                <w:sz w:val="16"/>
                <w:szCs w:val="16"/>
              </w:rPr>
            </w:pPr>
            <w:r>
              <w:rPr>
                <w:rStyle w:val="CharacterStyle2"/>
                <w:rFonts w:ascii="Calibri" w:eastAsiaTheme="majorEastAsia" w:hAnsi="Calibri" w:cs="Calibri"/>
                <w:sz w:val="16"/>
                <w:szCs w:val="16"/>
              </w:rPr>
              <w:t>3</w:t>
            </w: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z w:val="16"/>
                <w:szCs w:val="16"/>
              </w:rPr>
            </w:pPr>
            <w:r>
              <w:rPr>
                <w:rStyle w:val="CharacterStyle1"/>
                <w:rFonts w:ascii="Calibri" w:hAnsi="Calibri" w:cs="Calibri"/>
                <w:sz w:val="16"/>
                <w:szCs w:val="16"/>
              </w:rPr>
              <w:t>Achats consommés</w:t>
            </w: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z w:val="16"/>
                <w:szCs w:val="16"/>
              </w:rPr>
            </w:pPr>
            <w:r>
              <w:rPr>
                <w:rStyle w:val="CharacterStyle1"/>
                <w:rFonts w:ascii="Calibri" w:hAnsi="Calibri" w:cs="Calibri"/>
                <w:sz w:val="16"/>
                <w:szCs w:val="16"/>
              </w:rPr>
              <w:t>Charges de personnel</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jc w:val="center"/>
              <w:rPr>
                <w:rStyle w:val="CharacterStyle2"/>
                <w:rFonts w:ascii="Calibri" w:eastAsiaTheme="majorEastAsia" w:hAnsi="Calibri" w:cs="Calibri"/>
                <w:sz w:val="16"/>
                <w:szCs w:val="16"/>
              </w:rPr>
            </w:pPr>
            <w:r>
              <w:rPr>
                <w:rStyle w:val="CharacterStyle2"/>
                <w:rFonts w:ascii="Calibri" w:eastAsiaTheme="majorEastAsia" w:hAnsi="Calibri" w:cs="Calibri"/>
                <w:sz w:val="16"/>
                <w:szCs w:val="16"/>
              </w:rPr>
              <w:t>4</w:t>
            </w: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z w:val="16"/>
                <w:szCs w:val="16"/>
              </w:rPr>
            </w:pPr>
            <w:r>
              <w:rPr>
                <w:rStyle w:val="CharacterStyle1"/>
                <w:rFonts w:ascii="Calibri" w:hAnsi="Calibri" w:cs="Calibri"/>
                <w:sz w:val="16"/>
                <w:szCs w:val="16"/>
              </w:rPr>
              <w:t>Charges de personnel</w:t>
            </w:r>
          </w:p>
        </w:tc>
      </w:tr>
      <w:tr w:rsidR="009B0114" w:rsidRPr="009872C5" w:rsidTr="00B17386">
        <w:trPr>
          <w:trHeight w:hRule="exact" w:val="558"/>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z w:val="16"/>
                <w:szCs w:val="16"/>
              </w:rPr>
            </w:pPr>
            <w:r>
              <w:rPr>
                <w:rStyle w:val="CharacterStyle1"/>
                <w:rFonts w:ascii="Calibri" w:hAnsi="Calibri" w:cs="Calibri"/>
                <w:sz w:val="16"/>
                <w:szCs w:val="16"/>
              </w:rPr>
              <w:t>Charges externes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jc w:val="center"/>
              <w:rPr>
                <w:rStyle w:val="CharacterStyle2"/>
                <w:rFonts w:ascii="Calibri" w:eastAsiaTheme="majorEastAsia" w:hAnsi="Calibri" w:cs="Calibri"/>
                <w:sz w:val="16"/>
                <w:szCs w:val="16"/>
              </w:rPr>
            </w:pPr>
            <w:r>
              <w:rPr>
                <w:rStyle w:val="CharacterStyle2"/>
                <w:rFonts w:ascii="Calibri" w:eastAsiaTheme="majorEastAsia" w:hAnsi="Calibri" w:cs="Calibri"/>
                <w:sz w:val="16"/>
                <w:szCs w:val="16"/>
              </w:rPr>
              <w:t>5</w:t>
            </w: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z w:val="16"/>
                <w:szCs w:val="16"/>
              </w:rPr>
            </w:pPr>
            <w:r>
              <w:rPr>
                <w:rStyle w:val="CharacterStyle1"/>
                <w:rFonts w:ascii="Calibri" w:hAnsi="Calibri" w:cs="Calibri"/>
                <w:sz w:val="16"/>
                <w:szCs w:val="16"/>
              </w:rPr>
              <w:t>Autres charges d’exploitation</w:t>
            </w: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z w:val="16"/>
                <w:szCs w:val="16"/>
              </w:rPr>
            </w:pPr>
            <w:r>
              <w:rPr>
                <w:rStyle w:val="CharacterStyle1"/>
                <w:rFonts w:ascii="Calibri" w:hAnsi="Calibri" w:cs="Calibri"/>
                <w:sz w:val="16"/>
                <w:szCs w:val="16"/>
              </w:rPr>
              <w:t>Impôts et taxes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jc w:val="center"/>
              <w:rPr>
                <w:rStyle w:val="CharacterStyle2"/>
                <w:rFonts w:ascii="Calibri" w:eastAsiaTheme="majorEastAsia" w:hAnsi="Calibri" w:cs="Calibri"/>
                <w:sz w:val="16"/>
                <w:szCs w:val="16"/>
              </w:rPr>
            </w:pPr>
            <w:r>
              <w:rPr>
                <w:rStyle w:val="CharacterStyle2"/>
                <w:rFonts w:ascii="Calibri" w:eastAsiaTheme="majorEastAsia" w:hAnsi="Calibri" w:cs="Calibri"/>
                <w:sz w:val="16"/>
                <w:szCs w:val="16"/>
              </w:rPr>
              <w:t>6</w:t>
            </w: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z w:val="16"/>
                <w:szCs w:val="16"/>
              </w:rPr>
            </w:pPr>
            <w:r>
              <w:rPr>
                <w:rStyle w:val="CharacterStyle1"/>
                <w:rFonts w:ascii="Calibri" w:hAnsi="Calibri" w:cs="Calibri"/>
                <w:sz w:val="16"/>
                <w:szCs w:val="16"/>
              </w:rPr>
              <w:t>Impôts et taxes</w:t>
            </w:r>
          </w:p>
        </w:tc>
      </w:tr>
      <w:tr w:rsidR="009B0114" w:rsidRPr="009872C5" w:rsidTr="00B17386">
        <w:trPr>
          <w:trHeight w:hRule="exact" w:val="714"/>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z w:val="16"/>
                <w:szCs w:val="16"/>
              </w:rPr>
            </w:pPr>
            <w:r>
              <w:rPr>
                <w:rStyle w:val="CharacterStyle1"/>
                <w:rFonts w:ascii="Calibri" w:hAnsi="Calibri" w:cs="Calibri"/>
                <w:sz w:val="16"/>
                <w:szCs w:val="16"/>
              </w:rPr>
              <w:t>Dotations aux amortissements et aux provisions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jc w:val="center"/>
              <w:rPr>
                <w:rStyle w:val="CharacterStyle2"/>
                <w:rFonts w:ascii="Calibri" w:eastAsiaTheme="majorEastAsia" w:hAnsi="Calibri" w:cs="Calibri"/>
                <w:sz w:val="16"/>
                <w:szCs w:val="16"/>
              </w:rPr>
            </w:pPr>
            <w:r>
              <w:rPr>
                <w:rStyle w:val="CharacterStyle2"/>
                <w:rFonts w:ascii="Calibri" w:eastAsiaTheme="majorEastAsia" w:hAnsi="Calibri" w:cs="Calibri"/>
                <w:sz w:val="16"/>
                <w:szCs w:val="16"/>
              </w:rPr>
              <w:t>7</w:t>
            </w: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r>
              <w:rPr>
                <w:rStyle w:val="CharacterStyle2"/>
                <w:rFonts w:ascii="Calibri" w:eastAsiaTheme="majorEastAsia" w:hAnsi="Calibri" w:cs="Calibri"/>
                <w:sz w:val="16"/>
                <w:szCs w:val="16"/>
              </w:rPr>
              <w:t>Dotations aux amortissements et aux provisions</w:t>
            </w: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pacing w:val="-4"/>
                <w:sz w:val="16"/>
                <w:szCs w:val="16"/>
              </w:rPr>
            </w:pPr>
            <w:r>
              <w:rPr>
                <w:rStyle w:val="CharacterStyle1"/>
                <w:rFonts w:ascii="Calibri" w:hAnsi="Calibri" w:cs="Calibri"/>
                <w:spacing w:val="-4"/>
                <w:sz w:val="16"/>
                <w:szCs w:val="16"/>
              </w:rPr>
              <w:t>Variation des stocks de produits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jc w:val="center"/>
              <w:rPr>
                <w:rStyle w:val="CharacterStyle2"/>
                <w:rFonts w:ascii="Calibri" w:eastAsiaTheme="majorEastAsia" w:hAnsi="Calibri" w:cs="Calibri"/>
                <w:sz w:val="16"/>
                <w:szCs w:val="16"/>
              </w:rPr>
            </w:pPr>
            <w:r>
              <w:rPr>
                <w:rStyle w:val="CharacterStyle2"/>
                <w:rFonts w:ascii="Calibri" w:eastAsiaTheme="majorEastAsia" w:hAnsi="Calibri" w:cs="Calibri"/>
                <w:sz w:val="16"/>
                <w:szCs w:val="16"/>
              </w:rPr>
              <w:t>8</w:t>
            </w: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pacing w:val="-4"/>
                <w:sz w:val="16"/>
                <w:szCs w:val="16"/>
              </w:rPr>
            </w:pPr>
            <w:r>
              <w:rPr>
                <w:rStyle w:val="CharacterStyle1"/>
                <w:rFonts w:ascii="Calibri" w:hAnsi="Calibri" w:cs="Calibri"/>
                <w:spacing w:val="-4"/>
                <w:sz w:val="16"/>
                <w:szCs w:val="16"/>
              </w:rPr>
              <w:t>Variation des stocks</w:t>
            </w: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z w:val="16"/>
                <w:szCs w:val="16"/>
              </w:rPr>
            </w:pPr>
            <w:r>
              <w:rPr>
                <w:rStyle w:val="CharacterStyle1"/>
                <w:rFonts w:ascii="Calibri" w:hAnsi="Calibri" w:cs="Calibri"/>
                <w:sz w:val="16"/>
                <w:szCs w:val="16"/>
              </w:rPr>
              <w:t>Autres produits d’exploitation</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jc w:val="center"/>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z w:val="16"/>
                <w:szCs w:val="16"/>
              </w:rPr>
            </w:pP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pacing w:val="-4"/>
                <w:sz w:val="16"/>
                <w:szCs w:val="16"/>
              </w:rPr>
            </w:pPr>
            <w:r>
              <w:rPr>
                <w:rStyle w:val="CharacterStyle1"/>
                <w:rFonts w:ascii="Calibri" w:hAnsi="Calibri" w:cs="Calibri"/>
                <w:spacing w:val="-4"/>
                <w:sz w:val="16"/>
                <w:szCs w:val="16"/>
              </w:rPr>
              <w:t>Résultat opérationnel courant</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jc w:val="center"/>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r>
              <w:rPr>
                <w:rStyle w:val="CharacterStyle2"/>
                <w:rFonts w:ascii="Calibri" w:eastAsiaTheme="majorEastAsia" w:hAnsi="Calibri" w:cs="Calibri"/>
                <w:sz w:val="16"/>
                <w:szCs w:val="16"/>
              </w:rPr>
              <w:t>Autres produits opérationnels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jc w:val="center"/>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z w:val="16"/>
                <w:szCs w:val="16"/>
              </w:rPr>
            </w:pPr>
            <w:r>
              <w:rPr>
                <w:rStyle w:val="CharacterStyle1"/>
                <w:rFonts w:ascii="Calibri" w:hAnsi="Calibri" w:cs="Calibri"/>
                <w:sz w:val="16"/>
                <w:szCs w:val="16"/>
              </w:rPr>
              <w:t>Résultat d’exploitation</w:t>
            </w: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jc w:val="both"/>
              <w:rPr>
                <w:rStyle w:val="CharacterStyle2"/>
                <w:rFonts w:ascii="Calibri" w:eastAsiaTheme="majorEastAsia" w:hAnsi="Calibri" w:cs="Calibri"/>
                <w:spacing w:val="-2"/>
                <w:sz w:val="16"/>
                <w:szCs w:val="16"/>
              </w:rPr>
            </w:pPr>
            <w:r>
              <w:rPr>
                <w:rStyle w:val="CharacterStyle2"/>
                <w:rFonts w:ascii="Calibri" w:eastAsiaTheme="majorEastAsia" w:hAnsi="Calibri" w:cs="Calibri"/>
                <w:spacing w:val="-2"/>
                <w:sz w:val="16"/>
                <w:szCs w:val="16"/>
              </w:rPr>
              <w:t>Résultat opérationnel</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jc w:val="center"/>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z w:val="16"/>
                <w:szCs w:val="16"/>
              </w:rPr>
            </w:pP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pacing w:val="-2"/>
                <w:sz w:val="16"/>
                <w:szCs w:val="16"/>
              </w:rPr>
            </w:pPr>
            <w:r>
              <w:rPr>
                <w:rStyle w:val="CharacterStyle1"/>
                <w:rFonts w:ascii="Calibri" w:hAnsi="Calibri" w:cs="Calibri"/>
                <w:spacing w:val="-2"/>
                <w:sz w:val="16"/>
                <w:szCs w:val="16"/>
              </w:rPr>
              <w:t>Produit de trésorerie</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jc w:val="center"/>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r>
      <w:tr w:rsidR="009B0114" w:rsidRPr="009872C5" w:rsidTr="00B17386">
        <w:trPr>
          <w:trHeight w:hRule="exact" w:val="561"/>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pacing w:val="-2"/>
                <w:sz w:val="16"/>
                <w:szCs w:val="16"/>
              </w:rPr>
            </w:pPr>
            <w:r>
              <w:rPr>
                <w:rStyle w:val="CharacterStyle1"/>
                <w:rFonts w:ascii="Calibri" w:hAnsi="Calibri" w:cs="Calibri"/>
                <w:spacing w:val="-2"/>
                <w:sz w:val="16"/>
                <w:szCs w:val="16"/>
              </w:rPr>
              <w:t>Coût de l’endettement financier brut</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jc w:val="center"/>
              <w:rPr>
                <w:rStyle w:val="CharacterStyle2"/>
                <w:rFonts w:ascii="Calibri" w:eastAsiaTheme="majorEastAsia" w:hAnsi="Calibri" w:cs="Calibri"/>
                <w:sz w:val="16"/>
                <w:szCs w:val="16"/>
              </w:rPr>
            </w:pPr>
            <w:r>
              <w:rPr>
                <w:rStyle w:val="CharacterStyle2"/>
                <w:rFonts w:ascii="Calibri" w:eastAsiaTheme="majorEastAsia" w:hAnsi="Calibri" w:cs="Calibri"/>
                <w:sz w:val="16"/>
                <w:szCs w:val="16"/>
              </w:rPr>
              <w:t>9</w:t>
            </w: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r>
              <w:rPr>
                <w:rStyle w:val="CharacterStyle2"/>
                <w:rFonts w:ascii="Calibri" w:eastAsiaTheme="majorEastAsia" w:hAnsi="Calibri" w:cs="Calibri"/>
                <w:sz w:val="16"/>
                <w:szCs w:val="16"/>
              </w:rPr>
              <w:t>Charges et produits financiers</w:t>
            </w: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pacing w:val="-2"/>
                <w:sz w:val="16"/>
                <w:szCs w:val="16"/>
              </w:rPr>
            </w:pPr>
            <w:r>
              <w:rPr>
                <w:rStyle w:val="CharacterStyle1"/>
                <w:rFonts w:ascii="Calibri" w:hAnsi="Calibri" w:cs="Calibri"/>
                <w:spacing w:val="-2"/>
                <w:sz w:val="16"/>
                <w:szCs w:val="16"/>
              </w:rPr>
              <w:t>Coût de l’endettement financier net</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jc w:val="center"/>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pacing w:val="-2"/>
                <w:sz w:val="16"/>
                <w:szCs w:val="16"/>
              </w:rPr>
            </w:pPr>
            <w:r>
              <w:rPr>
                <w:rStyle w:val="CharacterStyle1"/>
                <w:rFonts w:ascii="Calibri" w:hAnsi="Calibri" w:cs="Calibri"/>
                <w:spacing w:val="-2"/>
                <w:sz w:val="16"/>
                <w:szCs w:val="16"/>
              </w:rPr>
              <w:t>Autres produits financiers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jc w:val="center"/>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pacing w:val="-2"/>
                <w:sz w:val="16"/>
                <w:szCs w:val="16"/>
              </w:rPr>
            </w:pPr>
            <w:r>
              <w:rPr>
                <w:rStyle w:val="CharacterStyle1"/>
                <w:rFonts w:ascii="Calibri" w:hAnsi="Calibri" w:cs="Calibri"/>
                <w:spacing w:val="-2"/>
                <w:sz w:val="16"/>
                <w:szCs w:val="16"/>
              </w:rPr>
              <w:t>Autres charges financières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jc w:val="center"/>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r>
      <w:tr w:rsidR="009B0114" w:rsidRPr="009872C5" w:rsidTr="00B17386">
        <w:trPr>
          <w:trHeight w:hRule="exact" w:val="574"/>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pacing w:val="-2"/>
                <w:sz w:val="16"/>
                <w:szCs w:val="16"/>
              </w:rPr>
            </w:pP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jc w:val="center"/>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r>
              <w:rPr>
                <w:rStyle w:val="CharacterStyle2"/>
                <w:rFonts w:ascii="Calibri" w:eastAsiaTheme="majorEastAsia" w:hAnsi="Calibri" w:cs="Calibri"/>
                <w:sz w:val="16"/>
                <w:szCs w:val="16"/>
              </w:rPr>
              <w:t>Résultat courant des entreprises intégrées</w:t>
            </w:r>
          </w:p>
        </w:tc>
      </w:tr>
      <w:tr w:rsidR="009B0114" w:rsidRPr="009872C5" w:rsidTr="00B17386">
        <w:trPr>
          <w:trHeight w:hRule="exact" w:val="568"/>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pacing w:val="-2"/>
                <w:sz w:val="16"/>
                <w:szCs w:val="16"/>
              </w:rPr>
            </w:pP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jc w:val="center"/>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r>
              <w:rPr>
                <w:rStyle w:val="CharacterStyle2"/>
                <w:rFonts w:ascii="Calibri" w:eastAsiaTheme="majorEastAsia" w:hAnsi="Calibri" w:cs="Calibri"/>
                <w:sz w:val="16"/>
                <w:szCs w:val="16"/>
              </w:rPr>
              <w:t>Charges et produits exceptionnels</w:t>
            </w: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pacing w:val="-2"/>
                <w:sz w:val="16"/>
                <w:szCs w:val="16"/>
              </w:rPr>
            </w:pPr>
            <w:r>
              <w:rPr>
                <w:rStyle w:val="CharacterStyle1"/>
                <w:rFonts w:ascii="Calibri" w:hAnsi="Calibri" w:cs="Calibri"/>
                <w:spacing w:val="-2"/>
                <w:sz w:val="16"/>
                <w:szCs w:val="16"/>
              </w:rPr>
              <w:t>Charge d’impôt</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jc w:val="center"/>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r>
              <w:rPr>
                <w:rStyle w:val="CharacterStyle2"/>
                <w:rFonts w:ascii="Calibri" w:eastAsiaTheme="majorEastAsia" w:hAnsi="Calibri" w:cs="Calibri"/>
                <w:sz w:val="16"/>
                <w:szCs w:val="16"/>
              </w:rPr>
              <w:t>Impôts sur les résultats</w:t>
            </w: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pacing w:val="-2"/>
                <w:sz w:val="16"/>
                <w:szCs w:val="16"/>
              </w:rPr>
            </w:pPr>
            <w:r>
              <w:rPr>
                <w:rStyle w:val="CharacterStyle1"/>
                <w:rFonts w:ascii="Calibri" w:hAnsi="Calibri" w:cs="Calibri"/>
                <w:spacing w:val="-2"/>
                <w:sz w:val="16"/>
                <w:szCs w:val="16"/>
              </w:rPr>
              <w:t>Quote-part résultat sociétés mise en équivalence</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jc w:val="center"/>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pacing w:val="-2"/>
                <w:sz w:val="16"/>
                <w:szCs w:val="16"/>
              </w:rPr>
            </w:pPr>
            <w:r>
              <w:rPr>
                <w:rStyle w:val="CharacterStyle1"/>
                <w:rFonts w:ascii="Calibri" w:hAnsi="Calibri" w:cs="Calibri"/>
                <w:spacing w:val="-2"/>
                <w:sz w:val="16"/>
                <w:szCs w:val="16"/>
              </w:rPr>
              <w:t>Résultat net avant impôt des activités abandonnées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jc w:val="center"/>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20"/>
              <w:kinsoku w:val="0"/>
              <w:autoSpaceDE/>
              <w:autoSpaceDN/>
              <w:ind w:left="0"/>
              <w:rPr>
                <w:rStyle w:val="CharacterStyle1"/>
                <w:rFonts w:ascii="Calibri" w:hAnsi="Calibri" w:cs="Calibri"/>
                <w:spacing w:val="-2"/>
                <w:sz w:val="16"/>
                <w:szCs w:val="16"/>
              </w:rPr>
            </w:pPr>
            <w:r>
              <w:rPr>
                <w:rStyle w:val="CharacterStyle1"/>
                <w:rFonts w:ascii="Calibri" w:hAnsi="Calibri" w:cs="Calibri"/>
                <w:spacing w:val="-2"/>
                <w:sz w:val="16"/>
                <w:szCs w:val="16"/>
              </w:rPr>
              <w:t>Résultat net d’impôt des activités abandonnées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jc w:val="center"/>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r>
      <w:tr w:rsidR="009B0114" w:rsidRPr="009872C5" w:rsidTr="00B17386">
        <w:trPr>
          <w:trHeight w:hRule="exact" w:val="700"/>
        </w:trPr>
        <w:tc>
          <w:tcPr>
            <w:tcW w:w="2363" w:type="dxa"/>
            <w:tcBorders>
              <w:top w:val="single" w:sz="11" w:space="0" w:color="auto"/>
              <w:left w:val="single" w:sz="11" w:space="0" w:color="auto"/>
              <w:bottom w:val="single" w:sz="11" w:space="0" w:color="auto"/>
              <w:right w:val="single" w:sz="11" w:space="0" w:color="auto"/>
            </w:tcBorders>
            <w:vAlign w:val="center"/>
          </w:tcPr>
          <w:p w:rsidR="009B0114" w:rsidRDefault="009B0114" w:rsidP="00B17386">
            <w:pPr>
              <w:pStyle w:val="Style20"/>
              <w:kinsoku w:val="0"/>
              <w:autoSpaceDE/>
              <w:autoSpaceDN/>
              <w:ind w:left="0"/>
              <w:rPr>
                <w:rStyle w:val="CharacterStyle1"/>
                <w:rFonts w:ascii="Calibri" w:hAnsi="Calibri" w:cs="Calibri"/>
                <w:spacing w:val="-2"/>
                <w:sz w:val="16"/>
                <w:szCs w:val="16"/>
              </w:rPr>
            </w:pP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jc w:val="center"/>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r>
              <w:rPr>
                <w:rStyle w:val="CharacterStyle2"/>
                <w:rFonts w:ascii="Calibri" w:eastAsiaTheme="majorEastAsia" w:hAnsi="Calibri" w:cs="Calibri"/>
                <w:sz w:val="16"/>
                <w:szCs w:val="16"/>
              </w:rPr>
              <w:t>Dotations aux amortissements des écarts d’acquisition</w:t>
            </w: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Default="009B0114" w:rsidP="00B17386">
            <w:pPr>
              <w:pStyle w:val="Style20"/>
              <w:kinsoku w:val="0"/>
              <w:autoSpaceDE/>
              <w:autoSpaceDN/>
              <w:ind w:left="0"/>
              <w:rPr>
                <w:rStyle w:val="CharacterStyle1"/>
                <w:rFonts w:ascii="Calibri" w:hAnsi="Calibri" w:cs="Calibri"/>
                <w:spacing w:val="-2"/>
                <w:sz w:val="16"/>
                <w:szCs w:val="16"/>
              </w:rPr>
            </w:pPr>
            <w:r>
              <w:rPr>
                <w:rStyle w:val="CharacterStyle1"/>
                <w:rFonts w:ascii="Calibri" w:hAnsi="Calibri" w:cs="Calibri"/>
                <w:spacing w:val="-2"/>
                <w:sz w:val="16"/>
                <w:szCs w:val="16"/>
              </w:rPr>
              <w:t>Résultat net</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jc w:val="center"/>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r>
              <w:rPr>
                <w:rStyle w:val="CharacterStyle2"/>
                <w:rFonts w:ascii="Calibri" w:eastAsiaTheme="majorEastAsia" w:hAnsi="Calibri" w:cs="Calibri"/>
                <w:sz w:val="16"/>
                <w:szCs w:val="16"/>
              </w:rPr>
              <w:t>Résultat net de l’ensemble consolidé</w:t>
            </w: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Default="009B0114" w:rsidP="00B17386">
            <w:pPr>
              <w:pStyle w:val="Style20"/>
              <w:kinsoku w:val="0"/>
              <w:autoSpaceDE/>
              <w:autoSpaceDN/>
              <w:ind w:left="0"/>
              <w:rPr>
                <w:rStyle w:val="CharacterStyle1"/>
                <w:rFonts w:ascii="Calibri" w:hAnsi="Calibri" w:cs="Calibri"/>
                <w:spacing w:val="-2"/>
                <w:sz w:val="16"/>
                <w:szCs w:val="16"/>
              </w:rPr>
            </w:pPr>
            <w:r>
              <w:rPr>
                <w:rStyle w:val="CharacterStyle1"/>
                <w:rFonts w:ascii="Calibri" w:hAnsi="Calibri" w:cs="Calibri"/>
                <w:spacing w:val="-2"/>
                <w:sz w:val="16"/>
                <w:szCs w:val="16"/>
              </w:rPr>
              <w:lastRenderedPageBreak/>
              <w:t>Résultat net (part du groupe)</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jc w:val="center"/>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Default="009B0114" w:rsidP="00B17386">
            <w:pPr>
              <w:pStyle w:val="Style20"/>
              <w:kinsoku w:val="0"/>
              <w:autoSpaceDE/>
              <w:autoSpaceDN/>
              <w:ind w:left="0"/>
              <w:rPr>
                <w:rStyle w:val="CharacterStyle1"/>
                <w:rFonts w:ascii="Calibri" w:hAnsi="Calibri" w:cs="Calibri"/>
                <w:spacing w:val="-2"/>
                <w:sz w:val="16"/>
                <w:szCs w:val="16"/>
              </w:rPr>
            </w:pPr>
            <w:r>
              <w:rPr>
                <w:rStyle w:val="CharacterStyle1"/>
                <w:rFonts w:ascii="Calibri" w:hAnsi="Calibri" w:cs="Calibri"/>
                <w:spacing w:val="-2"/>
                <w:sz w:val="16"/>
                <w:szCs w:val="16"/>
              </w:rPr>
              <w:t>Résultat net (intérêt minoritaire)</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jc w:val="center"/>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r>
              <w:rPr>
                <w:rStyle w:val="CharacterStyle2"/>
                <w:rFonts w:ascii="Calibri" w:eastAsiaTheme="majorEastAsia" w:hAnsi="Calibri" w:cs="Calibri"/>
                <w:sz w:val="16"/>
                <w:szCs w:val="16"/>
              </w:rPr>
              <w:t>Intérêts minoritaires</w:t>
            </w: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Default="009B0114" w:rsidP="00B17386">
            <w:pPr>
              <w:pStyle w:val="Style20"/>
              <w:kinsoku w:val="0"/>
              <w:autoSpaceDE/>
              <w:autoSpaceDN/>
              <w:ind w:left="0"/>
              <w:rPr>
                <w:rStyle w:val="CharacterStyle1"/>
                <w:rFonts w:ascii="Calibri" w:hAnsi="Calibri" w:cs="Calibri"/>
                <w:spacing w:val="-2"/>
                <w:sz w:val="16"/>
                <w:szCs w:val="16"/>
              </w:rPr>
            </w:pP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jc w:val="center"/>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r>
              <w:rPr>
                <w:rStyle w:val="CharacterStyle2"/>
                <w:rFonts w:ascii="Calibri" w:eastAsiaTheme="majorEastAsia" w:hAnsi="Calibri" w:cs="Calibri"/>
                <w:sz w:val="16"/>
                <w:szCs w:val="16"/>
              </w:rPr>
              <w:t>Résultat net (part du groupe)</w:t>
            </w: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Default="009B0114" w:rsidP="00B17386">
            <w:pPr>
              <w:pStyle w:val="Style20"/>
              <w:kinsoku w:val="0"/>
              <w:autoSpaceDE/>
              <w:autoSpaceDN/>
              <w:ind w:left="0"/>
              <w:rPr>
                <w:rStyle w:val="CharacterStyle1"/>
                <w:rFonts w:ascii="Calibri" w:hAnsi="Calibri" w:cs="Calibri"/>
                <w:spacing w:val="-2"/>
                <w:sz w:val="16"/>
                <w:szCs w:val="16"/>
              </w:rPr>
            </w:pPr>
            <w:r>
              <w:rPr>
                <w:rStyle w:val="CharacterStyle1"/>
                <w:rFonts w:ascii="Calibri" w:hAnsi="Calibri" w:cs="Calibri"/>
                <w:spacing w:val="-2"/>
                <w:sz w:val="16"/>
                <w:szCs w:val="16"/>
              </w:rPr>
              <w:t>Résultat de base par action des activités poursuivies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jc w:val="center"/>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r>
              <w:rPr>
                <w:rStyle w:val="CharacterStyle2"/>
                <w:rFonts w:ascii="Calibri" w:eastAsiaTheme="majorEastAsia" w:hAnsi="Calibri" w:cs="Calibri"/>
                <w:sz w:val="16"/>
                <w:szCs w:val="16"/>
              </w:rPr>
              <w:t>Résultat par action</w:t>
            </w:r>
          </w:p>
        </w:tc>
      </w:tr>
      <w:tr w:rsidR="009B0114" w:rsidRPr="009872C5" w:rsidTr="00B17386">
        <w:trPr>
          <w:trHeight w:hRule="exact" w:val="425"/>
        </w:trPr>
        <w:tc>
          <w:tcPr>
            <w:tcW w:w="2363" w:type="dxa"/>
            <w:tcBorders>
              <w:top w:val="single" w:sz="11" w:space="0" w:color="auto"/>
              <w:left w:val="single" w:sz="11" w:space="0" w:color="auto"/>
              <w:bottom w:val="single" w:sz="11" w:space="0" w:color="auto"/>
              <w:right w:val="single" w:sz="11" w:space="0" w:color="auto"/>
            </w:tcBorders>
            <w:vAlign w:val="center"/>
          </w:tcPr>
          <w:p w:rsidR="009B0114" w:rsidRDefault="009B0114" w:rsidP="00B17386">
            <w:pPr>
              <w:pStyle w:val="Style20"/>
              <w:kinsoku w:val="0"/>
              <w:autoSpaceDE/>
              <w:autoSpaceDN/>
              <w:ind w:left="0"/>
              <w:rPr>
                <w:rStyle w:val="CharacterStyle1"/>
                <w:rFonts w:ascii="Calibri" w:hAnsi="Calibri" w:cs="Calibri"/>
                <w:spacing w:val="-2"/>
                <w:sz w:val="16"/>
                <w:szCs w:val="16"/>
              </w:rPr>
            </w:pPr>
            <w:r>
              <w:rPr>
                <w:rStyle w:val="CharacterStyle1"/>
                <w:rFonts w:ascii="Calibri" w:hAnsi="Calibri" w:cs="Calibri"/>
                <w:spacing w:val="-2"/>
                <w:sz w:val="16"/>
                <w:szCs w:val="16"/>
              </w:rPr>
              <w:t>Résultat dilué par action des activités poursuivies</w:t>
            </w:r>
          </w:p>
        </w:tc>
        <w:tc>
          <w:tcPr>
            <w:tcW w:w="992"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418"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134"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p>
        </w:tc>
        <w:tc>
          <w:tcPr>
            <w:tcW w:w="70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jc w:val="center"/>
              <w:rPr>
                <w:rStyle w:val="CharacterStyle2"/>
                <w:rFonts w:ascii="Calibri" w:eastAsiaTheme="majorEastAsia" w:hAnsi="Calibri" w:cs="Calibri"/>
                <w:sz w:val="16"/>
                <w:szCs w:val="16"/>
              </w:rPr>
            </w:pPr>
          </w:p>
        </w:tc>
        <w:tc>
          <w:tcPr>
            <w:tcW w:w="1559" w:type="dxa"/>
            <w:tcBorders>
              <w:top w:val="single" w:sz="11" w:space="0" w:color="auto"/>
              <w:left w:val="single" w:sz="11" w:space="0" w:color="auto"/>
              <w:bottom w:val="single" w:sz="11" w:space="0" w:color="auto"/>
              <w:right w:val="single" w:sz="11" w:space="0" w:color="auto"/>
            </w:tcBorders>
            <w:vAlign w:val="center"/>
          </w:tcPr>
          <w:p w:rsidR="009B0114" w:rsidRPr="009872C5" w:rsidRDefault="009B0114" w:rsidP="00B17386">
            <w:pPr>
              <w:pStyle w:val="Style10"/>
              <w:kinsoku w:val="0"/>
              <w:autoSpaceDE/>
              <w:autoSpaceDN/>
              <w:adjustRightInd/>
              <w:rPr>
                <w:rStyle w:val="CharacterStyle2"/>
                <w:rFonts w:ascii="Calibri" w:eastAsiaTheme="majorEastAsia" w:hAnsi="Calibri" w:cs="Calibri"/>
                <w:sz w:val="16"/>
                <w:szCs w:val="16"/>
              </w:rPr>
            </w:pPr>
            <w:r>
              <w:rPr>
                <w:rStyle w:val="CharacterStyle2"/>
                <w:rFonts w:ascii="Calibri" w:eastAsiaTheme="majorEastAsia" w:hAnsi="Calibri" w:cs="Calibri"/>
                <w:sz w:val="16"/>
                <w:szCs w:val="16"/>
              </w:rPr>
              <w:t>Résultat dilué par action</w:t>
            </w:r>
          </w:p>
        </w:tc>
      </w:tr>
    </w:tbl>
    <w:p w:rsidR="009B0114" w:rsidRDefault="009B0114" w:rsidP="009B0114">
      <w:pPr>
        <w:pStyle w:val="CACCorps"/>
        <w:rPr>
          <w:rFonts w:eastAsia="Arial Unicode MS" w:cs="Times New Roman"/>
          <w:szCs w:val="20"/>
          <w:lang w:eastAsia="fr-FR"/>
        </w:rPr>
      </w:pPr>
    </w:p>
    <w:p w:rsidR="009B0114" w:rsidRPr="00182A00" w:rsidRDefault="009B0114" w:rsidP="009B0114">
      <w:pPr>
        <w:pStyle w:val="CACTitre3"/>
        <w:rPr>
          <w:lang w:eastAsia="fr-FR"/>
        </w:rPr>
      </w:pPr>
      <w:bookmarkStart w:id="77" w:name="_Toc291776998"/>
      <w:bookmarkStart w:id="78" w:name="_Toc452390499"/>
      <w:r w:rsidRPr="00182A00">
        <w:rPr>
          <w:lang w:eastAsia="fr-FR"/>
        </w:rPr>
        <w:t>État de rapprochement des capitaux propres à l'ouverture de l'exercice N-1</w:t>
      </w:r>
      <w:bookmarkEnd w:id="77"/>
      <w:bookmarkEnd w:id="78"/>
    </w:p>
    <w:p w:rsidR="009B0114" w:rsidRDefault="009B0114" w:rsidP="009B0114">
      <w:pPr>
        <w:pStyle w:val="CACCorps"/>
        <w:rPr>
          <w:rFonts w:eastAsia="Arial Unicode MS" w:cs="Times New Roman"/>
          <w:szCs w:val="20"/>
          <w:lang w:eastAsia="fr-FR"/>
        </w:rPr>
      </w:pPr>
    </w:p>
    <w:tbl>
      <w:tblPr>
        <w:tblStyle w:val="Grilledutableau"/>
        <w:tblW w:w="10079" w:type="dxa"/>
        <w:tblInd w:w="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30"/>
        <w:gridCol w:w="709"/>
        <w:gridCol w:w="851"/>
        <w:gridCol w:w="850"/>
        <w:gridCol w:w="992"/>
        <w:gridCol w:w="1134"/>
        <w:gridCol w:w="993"/>
        <w:gridCol w:w="1275"/>
        <w:gridCol w:w="945"/>
      </w:tblGrid>
      <w:tr w:rsidR="009B0114" w:rsidRPr="0047250E" w:rsidTr="00B17386">
        <w:tc>
          <w:tcPr>
            <w:tcW w:w="2330" w:type="dxa"/>
            <w:tcBorders>
              <w:bottom w:val="single" w:sz="4" w:space="0" w:color="auto"/>
              <w:right w:val="single" w:sz="4" w:space="0" w:color="auto"/>
            </w:tcBorders>
            <w:vAlign w:val="center"/>
          </w:tcPr>
          <w:p w:rsidR="009B0114" w:rsidRPr="0047250E" w:rsidRDefault="009B0114" w:rsidP="00B17386">
            <w:pPr>
              <w:pStyle w:val="CACCorps"/>
              <w:ind w:left="0"/>
              <w:jc w:val="center"/>
              <w:rPr>
                <w:rFonts w:eastAsia="Arial Unicode MS" w:cs="Times New Roman"/>
                <w:b/>
                <w:sz w:val="20"/>
                <w:szCs w:val="20"/>
                <w:lang w:eastAsia="fr-FR"/>
              </w:rPr>
            </w:pPr>
          </w:p>
        </w:tc>
        <w:tc>
          <w:tcPr>
            <w:tcW w:w="709" w:type="dxa"/>
            <w:tcBorders>
              <w:top w:val="single" w:sz="4" w:space="0" w:color="auto"/>
              <w:left w:val="single" w:sz="4" w:space="0" w:color="auto"/>
              <w:bottom w:val="single" w:sz="4" w:space="0" w:color="auto"/>
              <w:right w:val="single" w:sz="4" w:space="0" w:color="auto"/>
            </w:tcBorders>
            <w:shd w:val="clear" w:color="auto" w:fill="666666" w:themeFill="text2"/>
            <w:vAlign w:val="center"/>
          </w:tcPr>
          <w:p w:rsidR="009B0114" w:rsidRPr="0047250E" w:rsidRDefault="009B0114" w:rsidP="00B17386">
            <w:pPr>
              <w:pStyle w:val="CACCorps"/>
              <w:ind w:left="0"/>
              <w:jc w:val="center"/>
              <w:rPr>
                <w:rFonts w:eastAsia="Arial Unicode MS" w:cs="Times New Roman"/>
                <w:b/>
                <w:color w:val="FFFFFF" w:themeColor="background1"/>
                <w:sz w:val="20"/>
                <w:szCs w:val="20"/>
                <w:lang w:eastAsia="fr-FR"/>
              </w:rPr>
            </w:pPr>
            <w:r w:rsidRPr="0047250E">
              <w:rPr>
                <w:rFonts w:eastAsia="Arial Unicode MS" w:cs="Times New Roman"/>
                <w:b/>
                <w:color w:val="FFFFFF" w:themeColor="background1"/>
                <w:sz w:val="20"/>
                <w:szCs w:val="20"/>
                <w:lang w:eastAsia="fr-FR"/>
              </w:rPr>
              <w:t>Note</w:t>
            </w:r>
          </w:p>
        </w:tc>
        <w:tc>
          <w:tcPr>
            <w:tcW w:w="851" w:type="dxa"/>
            <w:tcBorders>
              <w:top w:val="single" w:sz="4" w:space="0" w:color="auto"/>
              <w:left w:val="single" w:sz="4" w:space="0" w:color="auto"/>
              <w:bottom w:val="single" w:sz="4" w:space="0" w:color="auto"/>
              <w:right w:val="single" w:sz="4" w:space="0" w:color="auto"/>
            </w:tcBorders>
            <w:shd w:val="clear" w:color="auto" w:fill="666666" w:themeFill="text2"/>
            <w:vAlign w:val="center"/>
          </w:tcPr>
          <w:p w:rsidR="009B0114" w:rsidRPr="0047250E" w:rsidRDefault="009B0114" w:rsidP="00B17386">
            <w:pPr>
              <w:pStyle w:val="CACCorps"/>
              <w:ind w:left="0"/>
              <w:jc w:val="center"/>
              <w:rPr>
                <w:rFonts w:eastAsia="Arial Unicode MS" w:cs="Times New Roman"/>
                <w:b/>
                <w:color w:val="FFFFFF" w:themeColor="background1"/>
                <w:sz w:val="20"/>
                <w:szCs w:val="20"/>
                <w:lang w:eastAsia="fr-FR"/>
              </w:rPr>
            </w:pPr>
            <w:r w:rsidRPr="0047250E">
              <w:rPr>
                <w:rFonts w:eastAsia="Arial Unicode MS" w:cs="Times New Roman"/>
                <w:b/>
                <w:color w:val="FFFFFF" w:themeColor="background1"/>
                <w:sz w:val="20"/>
                <w:szCs w:val="20"/>
                <w:lang w:eastAsia="fr-FR"/>
              </w:rPr>
              <w:t>Capital</w:t>
            </w:r>
          </w:p>
        </w:tc>
        <w:tc>
          <w:tcPr>
            <w:tcW w:w="850" w:type="dxa"/>
            <w:tcBorders>
              <w:top w:val="single" w:sz="4" w:space="0" w:color="auto"/>
              <w:left w:val="single" w:sz="4" w:space="0" w:color="auto"/>
              <w:bottom w:val="single" w:sz="4" w:space="0" w:color="auto"/>
              <w:right w:val="single" w:sz="4" w:space="0" w:color="auto"/>
            </w:tcBorders>
            <w:shd w:val="clear" w:color="auto" w:fill="666666" w:themeFill="text2"/>
            <w:vAlign w:val="center"/>
          </w:tcPr>
          <w:p w:rsidR="009B0114" w:rsidRPr="0047250E" w:rsidRDefault="009B0114" w:rsidP="00B17386">
            <w:pPr>
              <w:pStyle w:val="CACCorps"/>
              <w:ind w:left="0"/>
              <w:jc w:val="center"/>
              <w:rPr>
                <w:rFonts w:eastAsia="Arial Unicode MS" w:cs="Times New Roman"/>
                <w:b/>
                <w:color w:val="FFFFFF" w:themeColor="background1"/>
                <w:sz w:val="20"/>
                <w:szCs w:val="20"/>
                <w:lang w:eastAsia="fr-FR"/>
              </w:rPr>
            </w:pPr>
            <w:r w:rsidRPr="0047250E">
              <w:rPr>
                <w:rFonts w:eastAsia="Arial Unicode MS" w:cs="Times New Roman"/>
                <w:b/>
                <w:color w:val="FFFFFF" w:themeColor="background1"/>
                <w:sz w:val="20"/>
                <w:szCs w:val="20"/>
                <w:lang w:eastAsia="fr-FR"/>
              </w:rPr>
              <w:t>Primes</w:t>
            </w:r>
          </w:p>
        </w:tc>
        <w:tc>
          <w:tcPr>
            <w:tcW w:w="992" w:type="dxa"/>
            <w:tcBorders>
              <w:top w:val="single" w:sz="4" w:space="0" w:color="auto"/>
              <w:left w:val="single" w:sz="4" w:space="0" w:color="auto"/>
              <w:bottom w:val="single" w:sz="4" w:space="0" w:color="auto"/>
              <w:right w:val="single" w:sz="4" w:space="0" w:color="auto"/>
            </w:tcBorders>
            <w:shd w:val="clear" w:color="auto" w:fill="666666" w:themeFill="text2"/>
            <w:vAlign w:val="center"/>
          </w:tcPr>
          <w:p w:rsidR="009B0114" w:rsidRPr="0047250E" w:rsidRDefault="009B0114" w:rsidP="00B17386">
            <w:pPr>
              <w:pStyle w:val="CACCorps"/>
              <w:ind w:left="0"/>
              <w:jc w:val="center"/>
              <w:rPr>
                <w:rFonts w:eastAsia="Arial Unicode MS" w:cs="Times New Roman"/>
                <w:b/>
                <w:color w:val="FFFFFF" w:themeColor="background1"/>
                <w:sz w:val="20"/>
                <w:szCs w:val="20"/>
                <w:lang w:eastAsia="fr-FR"/>
              </w:rPr>
            </w:pPr>
            <w:r w:rsidRPr="0047250E">
              <w:rPr>
                <w:rFonts w:eastAsia="Arial Unicode MS" w:cs="Times New Roman"/>
                <w:b/>
                <w:color w:val="FFFFFF" w:themeColor="background1"/>
                <w:sz w:val="20"/>
                <w:szCs w:val="20"/>
                <w:lang w:eastAsia="fr-FR"/>
              </w:rPr>
              <w:t>Réserves groupes</w:t>
            </w:r>
          </w:p>
        </w:tc>
        <w:tc>
          <w:tcPr>
            <w:tcW w:w="1134" w:type="dxa"/>
            <w:tcBorders>
              <w:top w:val="single" w:sz="4" w:space="0" w:color="auto"/>
              <w:left w:val="single" w:sz="4" w:space="0" w:color="auto"/>
              <w:bottom w:val="single" w:sz="4" w:space="0" w:color="auto"/>
              <w:right w:val="single" w:sz="4" w:space="0" w:color="auto"/>
            </w:tcBorders>
            <w:shd w:val="clear" w:color="auto" w:fill="666666" w:themeFill="text2"/>
            <w:vAlign w:val="center"/>
          </w:tcPr>
          <w:p w:rsidR="009B0114" w:rsidRPr="0047250E" w:rsidRDefault="009B0114" w:rsidP="00B17386">
            <w:pPr>
              <w:pStyle w:val="CACCorps"/>
              <w:ind w:left="0"/>
              <w:jc w:val="center"/>
              <w:rPr>
                <w:rFonts w:eastAsia="Arial Unicode MS" w:cs="Times New Roman"/>
                <w:b/>
                <w:color w:val="FFFFFF" w:themeColor="background1"/>
                <w:sz w:val="20"/>
                <w:szCs w:val="20"/>
                <w:lang w:eastAsia="fr-FR"/>
              </w:rPr>
            </w:pPr>
            <w:r w:rsidRPr="0047250E">
              <w:rPr>
                <w:rFonts w:eastAsia="Arial Unicode MS" w:cs="Times New Roman"/>
                <w:b/>
                <w:color w:val="FFFFFF" w:themeColor="background1"/>
                <w:sz w:val="20"/>
                <w:szCs w:val="20"/>
                <w:lang w:eastAsia="fr-FR"/>
              </w:rPr>
              <w:t>Résultat de l’exercice</w:t>
            </w:r>
          </w:p>
        </w:tc>
        <w:tc>
          <w:tcPr>
            <w:tcW w:w="993" w:type="dxa"/>
            <w:tcBorders>
              <w:top w:val="single" w:sz="4" w:space="0" w:color="auto"/>
              <w:left w:val="single" w:sz="4" w:space="0" w:color="auto"/>
              <w:bottom w:val="single" w:sz="4" w:space="0" w:color="auto"/>
              <w:right w:val="single" w:sz="4" w:space="0" w:color="auto"/>
            </w:tcBorders>
            <w:shd w:val="clear" w:color="auto" w:fill="666666" w:themeFill="text2"/>
            <w:vAlign w:val="center"/>
          </w:tcPr>
          <w:p w:rsidR="009B0114" w:rsidRPr="0047250E" w:rsidRDefault="009B0114" w:rsidP="00B17386">
            <w:pPr>
              <w:pStyle w:val="CACCorps"/>
              <w:ind w:left="0"/>
              <w:jc w:val="center"/>
              <w:rPr>
                <w:rFonts w:eastAsia="Arial Unicode MS" w:cs="Times New Roman"/>
                <w:b/>
                <w:color w:val="FFFFFF" w:themeColor="background1"/>
                <w:sz w:val="20"/>
                <w:szCs w:val="20"/>
                <w:lang w:eastAsia="fr-FR"/>
              </w:rPr>
            </w:pPr>
            <w:r w:rsidRPr="0047250E">
              <w:rPr>
                <w:rFonts w:eastAsia="Arial Unicode MS" w:cs="Times New Roman"/>
                <w:b/>
                <w:color w:val="FFFFFF" w:themeColor="background1"/>
                <w:sz w:val="20"/>
                <w:szCs w:val="20"/>
                <w:lang w:eastAsia="fr-FR"/>
              </w:rPr>
              <w:t>Capitaux propres part du groupe</w:t>
            </w:r>
          </w:p>
        </w:tc>
        <w:tc>
          <w:tcPr>
            <w:tcW w:w="1275" w:type="dxa"/>
            <w:tcBorders>
              <w:top w:val="single" w:sz="4" w:space="0" w:color="auto"/>
              <w:left w:val="single" w:sz="4" w:space="0" w:color="auto"/>
              <w:bottom w:val="single" w:sz="4" w:space="0" w:color="auto"/>
              <w:right w:val="single" w:sz="4" w:space="0" w:color="auto"/>
            </w:tcBorders>
            <w:shd w:val="clear" w:color="auto" w:fill="666666" w:themeFill="text2"/>
            <w:vAlign w:val="center"/>
          </w:tcPr>
          <w:p w:rsidR="009B0114" w:rsidRPr="0047250E" w:rsidRDefault="009B0114" w:rsidP="00B17386">
            <w:pPr>
              <w:pStyle w:val="CACCorps"/>
              <w:ind w:left="0"/>
              <w:jc w:val="center"/>
              <w:rPr>
                <w:rFonts w:eastAsia="Arial Unicode MS" w:cs="Times New Roman"/>
                <w:b/>
                <w:color w:val="FFFFFF" w:themeColor="background1"/>
                <w:sz w:val="20"/>
                <w:szCs w:val="20"/>
                <w:lang w:eastAsia="fr-FR"/>
              </w:rPr>
            </w:pPr>
            <w:r w:rsidRPr="0047250E">
              <w:rPr>
                <w:rFonts w:eastAsia="Arial Unicode MS" w:cs="Times New Roman"/>
                <w:b/>
                <w:color w:val="FFFFFF" w:themeColor="background1"/>
                <w:sz w:val="20"/>
                <w:szCs w:val="20"/>
                <w:lang w:eastAsia="fr-FR"/>
              </w:rPr>
              <w:t>Intérêts minoritaires</w:t>
            </w:r>
          </w:p>
        </w:tc>
        <w:tc>
          <w:tcPr>
            <w:tcW w:w="945" w:type="dxa"/>
            <w:tcBorders>
              <w:top w:val="single" w:sz="4" w:space="0" w:color="auto"/>
              <w:left w:val="single" w:sz="4" w:space="0" w:color="auto"/>
              <w:bottom w:val="single" w:sz="4" w:space="0" w:color="auto"/>
              <w:right w:val="single" w:sz="4" w:space="0" w:color="auto"/>
            </w:tcBorders>
            <w:shd w:val="clear" w:color="auto" w:fill="666666" w:themeFill="text2"/>
            <w:vAlign w:val="center"/>
          </w:tcPr>
          <w:p w:rsidR="009B0114" w:rsidRPr="0047250E" w:rsidRDefault="009B0114" w:rsidP="00B17386">
            <w:pPr>
              <w:pStyle w:val="CACCorps"/>
              <w:ind w:left="0"/>
              <w:jc w:val="center"/>
              <w:rPr>
                <w:rFonts w:eastAsia="Arial Unicode MS" w:cs="Times New Roman"/>
                <w:b/>
                <w:color w:val="FFFFFF" w:themeColor="background1"/>
                <w:sz w:val="20"/>
                <w:szCs w:val="20"/>
                <w:lang w:eastAsia="fr-FR"/>
              </w:rPr>
            </w:pPr>
            <w:r w:rsidRPr="0047250E">
              <w:rPr>
                <w:rFonts w:eastAsia="Arial Unicode MS" w:cs="Times New Roman"/>
                <w:b/>
                <w:color w:val="FFFFFF" w:themeColor="background1"/>
                <w:sz w:val="20"/>
                <w:szCs w:val="20"/>
                <w:lang w:eastAsia="fr-FR"/>
              </w:rPr>
              <w:t>Capitaux propres total</w:t>
            </w:r>
          </w:p>
        </w:tc>
      </w:tr>
      <w:tr w:rsidR="009B0114" w:rsidRPr="0047250E" w:rsidTr="00B17386">
        <w:tc>
          <w:tcPr>
            <w:tcW w:w="2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B0114" w:rsidRPr="0047250E" w:rsidRDefault="009B0114" w:rsidP="00B17386">
            <w:pPr>
              <w:pStyle w:val="CACCorps"/>
              <w:ind w:left="0"/>
              <w:rPr>
                <w:rFonts w:eastAsia="Arial Unicode MS" w:cs="Times New Roman"/>
                <w:sz w:val="20"/>
                <w:szCs w:val="20"/>
                <w:lang w:eastAsia="fr-FR"/>
              </w:rPr>
            </w:pPr>
            <w:r>
              <w:rPr>
                <w:rFonts w:eastAsia="Arial Unicode MS" w:cs="Times New Roman"/>
                <w:sz w:val="20"/>
                <w:szCs w:val="20"/>
                <w:lang w:eastAsia="fr-FR"/>
              </w:rPr>
              <w:t>Situation en IFRS à l’ouverture de l’exercice N</w:t>
            </w:r>
            <w:r>
              <w:rPr>
                <w:rFonts w:eastAsia="Arial Unicode MS" w:cs="Times New Roman"/>
                <w:sz w:val="20"/>
                <w:szCs w:val="20"/>
                <w:lang w:eastAsia="fr-FR"/>
              </w:rPr>
              <w:noBreakHyphen/>
              <w:t>1</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B0114" w:rsidRPr="0047250E" w:rsidRDefault="009B0114" w:rsidP="00B17386">
            <w:pPr>
              <w:pStyle w:val="CACCorps"/>
              <w:ind w:left="0"/>
              <w:rPr>
                <w:rFonts w:eastAsia="Arial Unicode MS" w:cs="Times New Roman"/>
                <w:sz w:val="20"/>
                <w:szCs w:val="20"/>
                <w:lang w:eastAsia="fr-FR"/>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B0114" w:rsidRPr="0047250E" w:rsidRDefault="009B0114" w:rsidP="00B17386">
            <w:pPr>
              <w:pStyle w:val="CACCorps"/>
              <w:ind w:left="0"/>
              <w:rPr>
                <w:rFonts w:eastAsia="Arial Unicode MS" w:cs="Times New Roman"/>
                <w:sz w:val="20"/>
                <w:szCs w:val="20"/>
                <w:lang w:eastAsia="fr-FR"/>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B0114" w:rsidRPr="0047250E" w:rsidRDefault="009B0114" w:rsidP="00B17386">
            <w:pPr>
              <w:pStyle w:val="CACCorps"/>
              <w:ind w:left="0"/>
              <w:rPr>
                <w:rFonts w:eastAsia="Arial Unicode MS" w:cs="Times New Roman"/>
                <w:sz w:val="20"/>
                <w:szCs w:val="20"/>
                <w:lang w:eastAsia="fr-FR"/>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B0114" w:rsidRPr="0047250E" w:rsidRDefault="009B0114" w:rsidP="00B17386">
            <w:pPr>
              <w:pStyle w:val="CACCorps"/>
              <w:ind w:left="0"/>
              <w:rPr>
                <w:rFonts w:eastAsia="Arial Unicode MS" w:cs="Times New Roman"/>
                <w:sz w:val="20"/>
                <w:szCs w:val="20"/>
                <w:lang w:eastAsia="fr-FR"/>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B0114" w:rsidRPr="0047250E" w:rsidRDefault="009B0114" w:rsidP="00B17386">
            <w:pPr>
              <w:pStyle w:val="CACCorps"/>
              <w:ind w:left="0"/>
              <w:rPr>
                <w:rFonts w:eastAsia="Arial Unicode MS" w:cs="Times New Roman"/>
                <w:sz w:val="20"/>
                <w:szCs w:val="20"/>
                <w:lang w:eastAsia="fr-FR"/>
              </w:rPr>
            </w:pP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B0114" w:rsidRPr="0047250E" w:rsidRDefault="009B0114" w:rsidP="00B17386">
            <w:pPr>
              <w:pStyle w:val="CACCorps"/>
              <w:ind w:left="0"/>
              <w:rPr>
                <w:rFonts w:eastAsia="Arial Unicode MS" w:cs="Times New Roman"/>
                <w:sz w:val="20"/>
                <w:szCs w:val="20"/>
                <w:lang w:eastAsia="fr-FR"/>
              </w:rPr>
            </w:pP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B0114" w:rsidRPr="0047250E" w:rsidRDefault="009B0114" w:rsidP="00B17386">
            <w:pPr>
              <w:pStyle w:val="CACCorps"/>
              <w:ind w:left="0"/>
              <w:rPr>
                <w:rFonts w:eastAsia="Arial Unicode MS" w:cs="Times New Roman"/>
                <w:sz w:val="20"/>
                <w:szCs w:val="20"/>
                <w:lang w:eastAsia="fr-FR"/>
              </w:rPr>
            </w:pPr>
          </w:p>
        </w:tc>
        <w:tc>
          <w:tcPr>
            <w:tcW w:w="94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B0114" w:rsidRPr="0047250E" w:rsidRDefault="009B0114" w:rsidP="00B17386">
            <w:pPr>
              <w:pStyle w:val="CACCorps"/>
              <w:ind w:left="0"/>
              <w:rPr>
                <w:rFonts w:eastAsia="Arial Unicode MS" w:cs="Times New Roman"/>
                <w:sz w:val="20"/>
                <w:szCs w:val="20"/>
                <w:lang w:eastAsia="fr-FR"/>
              </w:rPr>
            </w:pPr>
          </w:p>
        </w:tc>
      </w:tr>
      <w:tr w:rsidR="009B0114" w:rsidRPr="0047250E" w:rsidTr="00B17386">
        <w:tc>
          <w:tcPr>
            <w:tcW w:w="2330" w:type="dxa"/>
            <w:tcBorders>
              <w:top w:val="single" w:sz="4" w:space="0" w:color="auto"/>
              <w:left w:val="single" w:sz="4" w:space="0" w:color="auto"/>
              <w:bottom w:val="single" w:sz="4" w:space="0" w:color="auto"/>
              <w:right w:val="single" w:sz="4" w:space="0" w:color="auto"/>
            </w:tcBorders>
          </w:tcPr>
          <w:p w:rsidR="009B0114" w:rsidRDefault="009B0114" w:rsidP="00B17386">
            <w:pPr>
              <w:pStyle w:val="CACCorps"/>
              <w:ind w:left="0"/>
              <w:rPr>
                <w:rFonts w:eastAsia="Arial Unicode MS" w:cs="Times New Roman"/>
                <w:sz w:val="20"/>
                <w:szCs w:val="20"/>
                <w:lang w:eastAsia="fr-FR"/>
              </w:rPr>
            </w:pPr>
            <w:r>
              <w:rPr>
                <w:rFonts w:eastAsia="Arial Unicode MS" w:cs="Times New Roman"/>
                <w:sz w:val="20"/>
                <w:szCs w:val="20"/>
                <w:lang w:eastAsia="fr-FR"/>
              </w:rPr>
              <w:t>Retraitements</w:t>
            </w:r>
            <w:r>
              <w:rPr>
                <w:rStyle w:val="Appelnotedebasdep"/>
                <w:rFonts w:eastAsia="Arial Unicode MS" w:cs="Times New Roman"/>
                <w:sz w:val="20"/>
                <w:szCs w:val="20"/>
                <w:lang w:eastAsia="fr-FR"/>
              </w:rPr>
              <w:footnoteReference w:id="3"/>
            </w:r>
            <w:r>
              <w:rPr>
                <w:rFonts w:eastAsia="Arial Unicode MS" w:cs="Times New Roman"/>
                <w:sz w:val="20"/>
                <w:szCs w:val="20"/>
                <w:lang w:eastAsia="fr-FR"/>
              </w:rPr>
              <w:t> :</w:t>
            </w:r>
          </w:p>
          <w:p w:rsidR="009B0114" w:rsidRDefault="009B0114" w:rsidP="00B17386">
            <w:pPr>
              <w:pStyle w:val="CACCorps"/>
              <w:ind w:left="0"/>
              <w:rPr>
                <w:rFonts w:eastAsia="Arial Unicode MS" w:cs="Times New Roman"/>
                <w:sz w:val="20"/>
                <w:szCs w:val="20"/>
                <w:lang w:eastAsia="fr-FR"/>
              </w:rPr>
            </w:pPr>
            <w:r>
              <w:rPr>
                <w:rFonts w:eastAsia="Arial Unicode MS" w:cs="Times New Roman"/>
                <w:sz w:val="20"/>
                <w:szCs w:val="20"/>
                <w:lang w:eastAsia="fr-FR"/>
              </w:rPr>
              <w:t>Amortissement des écarts d’acquisition</w:t>
            </w:r>
          </w:p>
          <w:p w:rsidR="009B0114" w:rsidRDefault="009B0114" w:rsidP="00B17386">
            <w:pPr>
              <w:pStyle w:val="CACCorps"/>
              <w:ind w:left="0"/>
              <w:rPr>
                <w:rFonts w:eastAsia="Arial Unicode MS" w:cs="Times New Roman"/>
                <w:sz w:val="20"/>
                <w:szCs w:val="20"/>
                <w:lang w:eastAsia="fr-FR"/>
              </w:rPr>
            </w:pPr>
            <w:r>
              <w:rPr>
                <w:rFonts w:eastAsia="Arial Unicode MS" w:cs="Times New Roman"/>
                <w:sz w:val="20"/>
                <w:szCs w:val="20"/>
                <w:lang w:eastAsia="fr-FR"/>
              </w:rPr>
              <w:t>Remise au coût historique des immeubles</w:t>
            </w:r>
          </w:p>
          <w:p w:rsidR="009B0114" w:rsidRDefault="009B0114" w:rsidP="00B17386">
            <w:pPr>
              <w:pStyle w:val="CACCorps"/>
              <w:ind w:left="0"/>
              <w:rPr>
                <w:rFonts w:eastAsia="Arial Unicode MS" w:cs="Times New Roman"/>
                <w:sz w:val="20"/>
                <w:szCs w:val="20"/>
                <w:lang w:eastAsia="fr-FR"/>
              </w:rPr>
            </w:pPr>
          </w:p>
          <w:p w:rsidR="009B0114" w:rsidRDefault="009B0114" w:rsidP="00B17386">
            <w:pPr>
              <w:pStyle w:val="CACCorps"/>
              <w:ind w:left="0"/>
              <w:rPr>
                <w:rFonts w:eastAsia="Arial Unicode MS" w:cs="Times New Roman"/>
                <w:sz w:val="20"/>
                <w:szCs w:val="20"/>
                <w:lang w:eastAsia="fr-FR"/>
              </w:rPr>
            </w:pPr>
            <w:r>
              <w:rPr>
                <w:rFonts w:eastAsia="Arial Unicode MS" w:cs="Times New Roman"/>
                <w:sz w:val="20"/>
                <w:szCs w:val="20"/>
                <w:lang w:eastAsia="fr-FR"/>
              </w:rPr>
              <w:t>Dé-comptabilisation des instruments financiers</w:t>
            </w:r>
          </w:p>
          <w:p w:rsidR="009B0114" w:rsidRDefault="009B0114" w:rsidP="00B17386">
            <w:pPr>
              <w:pStyle w:val="CACCorps"/>
              <w:ind w:left="0"/>
              <w:rPr>
                <w:rFonts w:eastAsia="Arial Unicode MS" w:cs="Times New Roman"/>
                <w:sz w:val="20"/>
                <w:szCs w:val="20"/>
                <w:lang w:eastAsia="fr-FR"/>
              </w:rPr>
            </w:pPr>
            <w:r>
              <w:rPr>
                <w:rFonts w:eastAsia="Arial Unicode MS" w:cs="Times New Roman"/>
                <w:sz w:val="20"/>
                <w:szCs w:val="20"/>
                <w:lang w:eastAsia="fr-FR"/>
              </w:rPr>
              <w:t>…</w:t>
            </w:r>
          </w:p>
          <w:p w:rsidR="009B0114" w:rsidRDefault="009B0114" w:rsidP="00B17386">
            <w:pPr>
              <w:pStyle w:val="CACCorps"/>
              <w:ind w:left="0"/>
              <w:rPr>
                <w:rFonts w:eastAsia="Arial Unicode MS" w:cs="Times New Roman"/>
                <w:sz w:val="20"/>
                <w:szCs w:val="20"/>
                <w:lang w:eastAsia="fr-FR"/>
              </w:rPr>
            </w:pPr>
          </w:p>
          <w:p w:rsidR="009B0114" w:rsidRPr="0047250E" w:rsidRDefault="009B0114" w:rsidP="00B17386">
            <w:pPr>
              <w:pStyle w:val="CACCorps"/>
              <w:ind w:left="0"/>
              <w:rPr>
                <w:rFonts w:eastAsia="Arial Unicode MS" w:cs="Times New Roman"/>
                <w:sz w:val="20"/>
                <w:szCs w:val="20"/>
                <w:lang w:eastAsia="fr-FR"/>
              </w:rPr>
            </w:pPr>
            <w:r>
              <w:rPr>
                <w:rFonts w:eastAsia="Arial Unicode MS" w:cs="Times New Roman"/>
                <w:sz w:val="20"/>
                <w:szCs w:val="20"/>
                <w:lang w:eastAsia="fr-FR"/>
              </w:rPr>
              <w:t>Total des retraitements</w:t>
            </w:r>
          </w:p>
        </w:tc>
        <w:tc>
          <w:tcPr>
            <w:tcW w:w="709" w:type="dxa"/>
            <w:tcBorders>
              <w:top w:val="single" w:sz="4" w:space="0" w:color="auto"/>
              <w:left w:val="single" w:sz="4" w:space="0" w:color="auto"/>
              <w:bottom w:val="single" w:sz="4" w:space="0" w:color="auto"/>
              <w:right w:val="single" w:sz="4" w:space="0" w:color="auto"/>
            </w:tcBorders>
          </w:tcPr>
          <w:p w:rsidR="009B0114" w:rsidRPr="0047250E" w:rsidRDefault="009B0114" w:rsidP="00B17386">
            <w:pPr>
              <w:pStyle w:val="CACCorps"/>
              <w:ind w:left="0"/>
              <w:rPr>
                <w:rFonts w:eastAsia="Arial Unicode MS" w:cs="Times New Roman"/>
                <w:sz w:val="20"/>
                <w:szCs w:val="20"/>
                <w:lang w:eastAsia="fr-FR"/>
              </w:rPr>
            </w:pPr>
          </w:p>
        </w:tc>
        <w:tc>
          <w:tcPr>
            <w:tcW w:w="851" w:type="dxa"/>
            <w:tcBorders>
              <w:top w:val="single" w:sz="4" w:space="0" w:color="auto"/>
              <w:left w:val="single" w:sz="4" w:space="0" w:color="auto"/>
              <w:bottom w:val="single" w:sz="4" w:space="0" w:color="auto"/>
              <w:right w:val="single" w:sz="4" w:space="0" w:color="auto"/>
            </w:tcBorders>
          </w:tcPr>
          <w:p w:rsidR="009B0114" w:rsidRPr="0047250E" w:rsidRDefault="009B0114" w:rsidP="00B17386">
            <w:pPr>
              <w:pStyle w:val="CACCorps"/>
              <w:ind w:left="0"/>
              <w:rPr>
                <w:rFonts w:eastAsia="Arial Unicode MS" w:cs="Times New Roman"/>
                <w:sz w:val="20"/>
                <w:szCs w:val="20"/>
                <w:lang w:eastAsia="fr-FR"/>
              </w:rPr>
            </w:pPr>
          </w:p>
        </w:tc>
        <w:tc>
          <w:tcPr>
            <w:tcW w:w="850" w:type="dxa"/>
            <w:tcBorders>
              <w:top w:val="single" w:sz="4" w:space="0" w:color="auto"/>
              <w:left w:val="single" w:sz="4" w:space="0" w:color="auto"/>
              <w:bottom w:val="single" w:sz="4" w:space="0" w:color="auto"/>
              <w:right w:val="single" w:sz="4" w:space="0" w:color="auto"/>
            </w:tcBorders>
          </w:tcPr>
          <w:p w:rsidR="009B0114" w:rsidRPr="0047250E" w:rsidRDefault="009B0114" w:rsidP="00B17386">
            <w:pPr>
              <w:pStyle w:val="CACCorps"/>
              <w:ind w:left="0"/>
              <w:rPr>
                <w:rFonts w:eastAsia="Arial Unicode MS" w:cs="Times New Roman"/>
                <w:sz w:val="20"/>
                <w:szCs w:val="20"/>
                <w:lang w:eastAsia="fr-FR"/>
              </w:rPr>
            </w:pPr>
          </w:p>
        </w:tc>
        <w:tc>
          <w:tcPr>
            <w:tcW w:w="992" w:type="dxa"/>
            <w:tcBorders>
              <w:top w:val="single" w:sz="4" w:space="0" w:color="auto"/>
              <w:left w:val="single" w:sz="4" w:space="0" w:color="auto"/>
              <w:bottom w:val="single" w:sz="4" w:space="0" w:color="auto"/>
              <w:right w:val="single" w:sz="4" w:space="0" w:color="auto"/>
            </w:tcBorders>
          </w:tcPr>
          <w:p w:rsidR="009B0114" w:rsidRPr="0047250E" w:rsidRDefault="009B0114" w:rsidP="00B17386">
            <w:pPr>
              <w:pStyle w:val="CACCorps"/>
              <w:ind w:left="0"/>
              <w:rPr>
                <w:rFonts w:eastAsia="Arial Unicode MS" w:cs="Times New Roman"/>
                <w:sz w:val="20"/>
                <w:szCs w:val="20"/>
                <w:lang w:eastAsia="fr-FR"/>
              </w:rPr>
            </w:pPr>
          </w:p>
        </w:tc>
        <w:tc>
          <w:tcPr>
            <w:tcW w:w="1134" w:type="dxa"/>
            <w:tcBorders>
              <w:top w:val="single" w:sz="4" w:space="0" w:color="auto"/>
              <w:left w:val="single" w:sz="4" w:space="0" w:color="auto"/>
              <w:bottom w:val="single" w:sz="4" w:space="0" w:color="auto"/>
              <w:right w:val="single" w:sz="4" w:space="0" w:color="auto"/>
            </w:tcBorders>
          </w:tcPr>
          <w:p w:rsidR="009B0114" w:rsidRPr="0047250E" w:rsidRDefault="009B0114" w:rsidP="00B17386">
            <w:pPr>
              <w:pStyle w:val="CACCorps"/>
              <w:ind w:left="0"/>
              <w:rPr>
                <w:rFonts w:eastAsia="Arial Unicode MS" w:cs="Times New Roman"/>
                <w:sz w:val="20"/>
                <w:szCs w:val="20"/>
                <w:lang w:eastAsia="fr-FR"/>
              </w:rPr>
            </w:pPr>
          </w:p>
        </w:tc>
        <w:tc>
          <w:tcPr>
            <w:tcW w:w="993" w:type="dxa"/>
            <w:tcBorders>
              <w:top w:val="single" w:sz="4" w:space="0" w:color="auto"/>
              <w:left w:val="single" w:sz="4" w:space="0" w:color="auto"/>
              <w:bottom w:val="single" w:sz="4" w:space="0" w:color="auto"/>
              <w:right w:val="single" w:sz="4" w:space="0" w:color="auto"/>
            </w:tcBorders>
          </w:tcPr>
          <w:p w:rsidR="009B0114" w:rsidRPr="0047250E" w:rsidRDefault="009B0114" w:rsidP="00B17386">
            <w:pPr>
              <w:pStyle w:val="CACCorps"/>
              <w:ind w:left="0"/>
              <w:rPr>
                <w:rFonts w:eastAsia="Arial Unicode MS" w:cs="Times New Roman"/>
                <w:sz w:val="20"/>
                <w:szCs w:val="20"/>
                <w:lang w:eastAsia="fr-FR"/>
              </w:rPr>
            </w:pPr>
          </w:p>
        </w:tc>
        <w:tc>
          <w:tcPr>
            <w:tcW w:w="1275" w:type="dxa"/>
            <w:tcBorders>
              <w:top w:val="single" w:sz="4" w:space="0" w:color="auto"/>
              <w:left w:val="single" w:sz="4" w:space="0" w:color="auto"/>
              <w:bottom w:val="single" w:sz="4" w:space="0" w:color="auto"/>
              <w:right w:val="single" w:sz="4" w:space="0" w:color="auto"/>
            </w:tcBorders>
          </w:tcPr>
          <w:p w:rsidR="009B0114" w:rsidRPr="0047250E" w:rsidRDefault="009B0114" w:rsidP="00B17386">
            <w:pPr>
              <w:pStyle w:val="CACCorps"/>
              <w:ind w:left="0"/>
              <w:rPr>
                <w:rFonts w:eastAsia="Arial Unicode MS" w:cs="Times New Roman"/>
                <w:sz w:val="20"/>
                <w:szCs w:val="20"/>
                <w:lang w:eastAsia="fr-FR"/>
              </w:rPr>
            </w:pPr>
          </w:p>
        </w:tc>
        <w:tc>
          <w:tcPr>
            <w:tcW w:w="945" w:type="dxa"/>
            <w:tcBorders>
              <w:top w:val="single" w:sz="4" w:space="0" w:color="auto"/>
              <w:left w:val="single" w:sz="4" w:space="0" w:color="auto"/>
              <w:bottom w:val="single" w:sz="4" w:space="0" w:color="auto"/>
              <w:right w:val="single" w:sz="4" w:space="0" w:color="auto"/>
            </w:tcBorders>
          </w:tcPr>
          <w:p w:rsidR="009B0114" w:rsidRPr="0047250E" w:rsidRDefault="009B0114" w:rsidP="00B17386">
            <w:pPr>
              <w:pStyle w:val="CACCorps"/>
              <w:ind w:left="0"/>
              <w:rPr>
                <w:rFonts w:eastAsia="Arial Unicode MS" w:cs="Times New Roman"/>
                <w:sz w:val="20"/>
                <w:szCs w:val="20"/>
                <w:lang w:eastAsia="fr-FR"/>
              </w:rPr>
            </w:pPr>
          </w:p>
        </w:tc>
      </w:tr>
      <w:tr w:rsidR="009B0114" w:rsidRPr="0047250E" w:rsidTr="00B17386">
        <w:tc>
          <w:tcPr>
            <w:tcW w:w="2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B0114" w:rsidRPr="0047250E" w:rsidRDefault="009B0114" w:rsidP="00B17386">
            <w:pPr>
              <w:pStyle w:val="CACCorps"/>
              <w:ind w:left="0"/>
              <w:rPr>
                <w:rFonts w:eastAsia="Arial Unicode MS" w:cs="Times New Roman"/>
                <w:sz w:val="20"/>
                <w:szCs w:val="20"/>
                <w:lang w:eastAsia="fr-FR"/>
              </w:rPr>
            </w:pPr>
            <w:r>
              <w:rPr>
                <w:rFonts w:eastAsia="Arial Unicode MS" w:cs="Times New Roman"/>
                <w:sz w:val="20"/>
                <w:szCs w:val="20"/>
                <w:lang w:eastAsia="fr-FR"/>
              </w:rPr>
              <w:t>Situation en règles françaises à l’ouverture de l’exercice N</w:t>
            </w:r>
            <w:r>
              <w:rPr>
                <w:rFonts w:eastAsia="Arial Unicode MS" w:cs="Times New Roman"/>
                <w:sz w:val="20"/>
                <w:szCs w:val="20"/>
                <w:lang w:eastAsia="fr-FR"/>
              </w:rPr>
              <w:noBreakHyphen/>
              <w:t>1</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B0114" w:rsidRPr="0047250E" w:rsidRDefault="009B0114" w:rsidP="00B17386">
            <w:pPr>
              <w:pStyle w:val="CACCorps"/>
              <w:ind w:left="0"/>
              <w:rPr>
                <w:rFonts w:eastAsia="Arial Unicode MS" w:cs="Times New Roman"/>
                <w:sz w:val="20"/>
                <w:szCs w:val="20"/>
                <w:lang w:eastAsia="fr-FR"/>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B0114" w:rsidRPr="0047250E" w:rsidRDefault="009B0114" w:rsidP="00B17386">
            <w:pPr>
              <w:pStyle w:val="CACCorps"/>
              <w:ind w:left="0"/>
              <w:rPr>
                <w:rFonts w:eastAsia="Arial Unicode MS" w:cs="Times New Roman"/>
                <w:sz w:val="20"/>
                <w:szCs w:val="20"/>
                <w:lang w:eastAsia="fr-FR"/>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B0114" w:rsidRPr="0047250E" w:rsidRDefault="009B0114" w:rsidP="00B17386">
            <w:pPr>
              <w:pStyle w:val="CACCorps"/>
              <w:ind w:left="0"/>
              <w:rPr>
                <w:rFonts w:eastAsia="Arial Unicode MS" w:cs="Times New Roman"/>
                <w:sz w:val="20"/>
                <w:szCs w:val="20"/>
                <w:lang w:eastAsia="fr-FR"/>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B0114" w:rsidRPr="0047250E" w:rsidRDefault="009B0114" w:rsidP="00B17386">
            <w:pPr>
              <w:pStyle w:val="CACCorps"/>
              <w:ind w:left="0"/>
              <w:rPr>
                <w:rFonts w:eastAsia="Arial Unicode MS" w:cs="Times New Roman"/>
                <w:sz w:val="20"/>
                <w:szCs w:val="20"/>
                <w:lang w:eastAsia="fr-FR"/>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B0114" w:rsidRPr="0047250E" w:rsidRDefault="009B0114" w:rsidP="00B17386">
            <w:pPr>
              <w:pStyle w:val="CACCorps"/>
              <w:ind w:left="0"/>
              <w:rPr>
                <w:rFonts w:eastAsia="Arial Unicode MS" w:cs="Times New Roman"/>
                <w:sz w:val="20"/>
                <w:szCs w:val="20"/>
                <w:lang w:eastAsia="fr-FR"/>
              </w:rPr>
            </w:pP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B0114" w:rsidRPr="0047250E" w:rsidRDefault="009B0114" w:rsidP="00B17386">
            <w:pPr>
              <w:pStyle w:val="CACCorps"/>
              <w:ind w:left="0"/>
              <w:rPr>
                <w:rFonts w:eastAsia="Arial Unicode MS" w:cs="Times New Roman"/>
                <w:sz w:val="20"/>
                <w:szCs w:val="20"/>
                <w:lang w:eastAsia="fr-FR"/>
              </w:rPr>
            </w:pP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B0114" w:rsidRPr="0047250E" w:rsidRDefault="009B0114" w:rsidP="00B17386">
            <w:pPr>
              <w:pStyle w:val="CACCorps"/>
              <w:ind w:left="0"/>
              <w:rPr>
                <w:rFonts w:eastAsia="Arial Unicode MS" w:cs="Times New Roman"/>
                <w:sz w:val="20"/>
                <w:szCs w:val="20"/>
                <w:lang w:eastAsia="fr-FR"/>
              </w:rPr>
            </w:pPr>
          </w:p>
        </w:tc>
        <w:tc>
          <w:tcPr>
            <w:tcW w:w="94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B0114" w:rsidRPr="0047250E" w:rsidRDefault="009B0114" w:rsidP="00B17386">
            <w:pPr>
              <w:pStyle w:val="CACCorps"/>
              <w:ind w:left="0"/>
              <w:rPr>
                <w:rFonts w:eastAsia="Arial Unicode MS" w:cs="Times New Roman"/>
                <w:sz w:val="20"/>
                <w:szCs w:val="20"/>
                <w:lang w:eastAsia="fr-FR"/>
              </w:rPr>
            </w:pPr>
          </w:p>
        </w:tc>
      </w:tr>
    </w:tbl>
    <w:p w:rsidR="009B0114" w:rsidRDefault="009B0114" w:rsidP="009B0114">
      <w:pPr>
        <w:pStyle w:val="CACCorps"/>
        <w:rPr>
          <w:rFonts w:eastAsia="Arial Unicode MS" w:cs="Times New Roman"/>
          <w:szCs w:val="20"/>
          <w:lang w:eastAsia="fr-FR"/>
        </w:rPr>
      </w:pPr>
    </w:p>
    <w:p w:rsidR="009B0114" w:rsidRPr="00182A00" w:rsidRDefault="009B0114" w:rsidP="009B0114">
      <w:pPr>
        <w:pStyle w:val="CACTitre3"/>
        <w:rPr>
          <w:lang w:eastAsia="fr-FR"/>
        </w:rPr>
      </w:pPr>
      <w:bookmarkStart w:id="79" w:name="_Toc291776999"/>
      <w:bookmarkStart w:id="80" w:name="_Toc452390500"/>
      <w:r w:rsidRPr="00182A00">
        <w:rPr>
          <w:lang w:eastAsia="fr-FR"/>
        </w:rPr>
        <w:t>État de rapprochement du résultat N-1</w:t>
      </w:r>
      <w:bookmarkEnd w:id="79"/>
      <w:bookmarkEnd w:id="80"/>
    </w:p>
    <w:p w:rsidR="009B0114" w:rsidRDefault="009B0114" w:rsidP="009B0114">
      <w:pPr>
        <w:pStyle w:val="CACCorps"/>
        <w:rPr>
          <w:rFonts w:eastAsia="Arial Unicode MS" w:cs="Times New Roman"/>
          <w:szCs w:val="20"/>
          <w:lang w:eastAsia="fr-FR"/>
        </w:rPr>
      </w:pPr>
    </w:p>
    <w:tbl>
      <w:tblPr>
        <w:tblW w:w="9221" w:type="dxa"/>
        <w:jc w:val="center"/>
        <w:tblInd w:w="677" w:type="dxa"/>
        <w:tblLayout w:type="fixed"/>
        <w:tblCellMar>
          <w:left w:w="0" w:type="dxa"/>
          <w:right w:w="0" w:type="dxa"/>
        </w:tblCellMar>
        <w:tblLook w:val="0000" w:firstRow="0" w:lastRow="0" w:firstColumn="0" w:lastColumn="0" w:noHBand="0" w:noVBand="0"/>
      </w:tblPr>
      <w:tblGrid>
        <w:gridCol w:w="4610"/>
        <w:gridCol w:w="4611"/>
      </w:tblGrid>
      <w:tr w:rsidR="009B0114" w:rsidRPr="00182A00" w:rsidTr="00B17386">
        <w:trPr>
          <w:trHeight w:hRule="exact" w:val="410"/>
          <w:jc w:val="center"/>
        </w:trPr>
        <w:tc>
          <w:tcPr>
            <w:tcW w:w="4610" w:type="dxa"/>
            <w:tcBorders>
              <w:top w:val="single" w:sz="4" w:space="0" w:color="auto"/>
              <w:left w:val="single" w:sz="4" w:space="0" w:color="auto"/>
              <w:bottom w:val="single" w:sz="4" w:space="0" w:color="auto"/>
              <w:right w:val="single" w:sz="4" w:space="0" w:color="auto"/>
            </w:tcBorders>
            <w:vAlign w:val="center"/>
          </w:tcPr>
          <w:p w:rsidR="009B0114" w:rsidRPr="00182A00" w:rsidRDefault="009B0114" w:rsidP="00B17386">
            <w:pPr>
              <w:pStyle w:val="CACCorps"/>
              <w:rPr>
                <w:rFonts w:eastAsia="Arial Unicode MS" w:cs="Times New Roman"/>
                <w:szCs w:val="20"/>
                <w:lang w:eastAsia="fr-FR"/>
              </w:rPr>
            </w:pPr>
            <w:r w:rsidRPr="00182A00">
              <w:rPr>
                <w:rFonts w:eastAsia="Arial Unicode MS" w:cs="Times New Roman"/>
                <w:szCs w:val="20"/>
                <w:lang w:eastAsia="fr-FR"/>
              </w:rPr>
              <w:t>Résultat N-1 IFRS</w:t>
            </w:r>
          </w:p>
        </w:tc>
        <w:tc>
          <w:tcPr>
            <w:tcW w:w="4611" w:type="dxa"/>
            <w:tcBorders>
              <w:top w:val="single" w:sz="4" w:space="0" w:color="auto"/>
              <w:left w:val="single" w:sz="4" w:space="0" w:color="auto"/>
              <w:bottom w:val="single" w:sz="4" w:space="0" w:color="auto"/>
              <w:right w:val="single" w:sz="4" w:space="0" w:color="auto"/>
            </w:tcBorders>
            <w:vAlign w:val="center"/>
          </w:tcPr>
          <w:p w:rsidR="009B0114" w:rsidRPr="00182A00" w:rsidRDefault="009B0114" w:rsidP="00B17386">
            <w:pPr>
              <w:pStyle w:val="CACCorps"/>
              <w:rPr>
                <w:rFonts w:eastAsia="Arial Unicode MS" w:cs="Times New Roman"/>
                <w:szCs w:val="20"/>
                <w:lang w:eastAsia="fr-FR"/>
              </w:rPr>
            </w:pPr>
            <w:r w:rsidRPr="00182A00">
              <w:rPr>
                <w:rFonts w:eastAsia="Arial Unicode MS" w:cs="Times New Roman"/>
                <w:szCs w:val="20"/>
                <w:lang w:eastAsia="fr-FR"/>
              </w:rPr>
              <w:t>XX</w:t>
            </w:r>
          </w:p>
        </w:tc>
      </w:tr>
      <w:tr w:rsidR="009B0114" w:rsidRPr="00182A00" w:rsidTr="00B17386">
        <w:trPr>
          <w:trHeight w:hRule="exact" w:val="966"/>
          <w:jc w:val="center"/>
        </w:trPr>
        <w:tc>
          <w:tcPr>
            <w:tcW w:w="4610" w:type="dxa"/>
            <w:tcBorders>
              <w:top w:val="single" w:sz="4" w:space="0" w:color="auto"/>
              <w:left w:val="single" w:sz="4" w:space="0" w:color="auto"/>
              <w:bottom w:val="single" w:sz="4" w:space="0" w:color="auto"/>
              <w:right w:val="single" w:sz="4" w:space="0" w:color="auto"/>
            </w:tcBorders>
          </w:tcPr>
          <w:p w:rsidR="009B0114" w:rsidRPr="00182A00" w:rsidRDefault="009B0114" w:rsidP="00B17386">
            <w:pPr>
              <w:pStyle w:val="CACCorps"/>
              <w:rPr>
                <w:rFonts w:eastAsia="Arial Unicode MS" w:cs="Times New Roman"/>
                <w:szCs w:val="20"/>
                <w:lang w:eastAsia="fr-FR"/>
              </w:rPr>
            </w:pPr>
            <w:r w:rsidRPr="00182A00">
              <w:rPr>
                <w:rFonts w:eastAsia="Arial Unicode MS" w:cs="Times New Roman"/>
                <w:szCs w:val="20"/>
                <w:lang w:eastAsia="fr-FR"/>
              </w:rPr>
              <w:t>Retraitements :</w:t>
            </w:r>
          </w:p>
          <w:p w:rsidR="009B0114" w:rsidRPr="00182A00" w:rsidRDefault="009B0114" w:rsidP="00B17386">
            <w:pPr>
              <w:pStyle w:val="CACCorps"/>
              <w:rPr>
                <w:rFonts w:eastAsia="Arial Unicode MS" w:cs="Times New Roman"/>
                <w:szCs w:val="20"/>
                <w:lang w:eastAsia="fr-FR"/>
              </w:rPr>
            </w:pPr>
            <w:r w:rsidRPr="00182A00">
              <w:rPr>
                <w:rFonts w:eastAsia="Arial Unicode MS" w:cs="Times New Roman"/>
                <w:szCs w:val="20"/>
                <w:lang w:eastAsia="fr-FR"/>
              </w:rPr>
              <w:t>-Amortissement des écarts d'acquisition</w:t>
            </w:r>
          </w:p>
          <w:p w:rsidR="009B0114" w:rsidRPr="00182A00" w:rsidRDefault="009B0114" w:rsidP="00B17386">
            <w:pPr>
              <w:pStyle w:val="CACCorps"/>
              <w:rPr>
                <w:rFonts w:eastAsia="Arial Unicode MS" w:cs="Times New Roman"/>
                <w:szCs w:val="20"/>
                <w:lang w:eastAsia="fr-FR"/>
              </w:rPr>
            </w:pPr>
            <w:r w:rsidRPr="00182A00">
              <w:rPr>
                <w:rFonts w:eastAsia="Arial Unicode MS" w:cs="Times New Roman"/>
                <w:szCs w:val="20"/>
                <w:lang w:eastAsia="fr-FR"/>
              </w:rPr>
              <w:t>- Élimination des variations de juste valeur - etc.</w:t>
            </w:r>
          </w:p>
        </w:tc>
        <w:tc>
          <w:tcPr>
            <w:tcW w:w="4611" w:type="dxa"/>
            <w:tcBorders>
              <w:top w:val="single" w:sz="4" w:space="0" w:color="auto"/>
              <w:left w:val="single" w:sz="4" w:space="0" w:color="auto"/>
              <w:bottom w:val="single" w:sz="4" w:space="0" w:color="auto"/>
              <w:right w:val="single" w:sz="4" w:space="0" w:color="auto"/>
            </w:tcBorders>
            <w:vAlign w:val="center"/>
          </w:tcPr>
          <w:p w:rsidR="009B0114" w:rsidRPr="00182A00" w:rsidRDefault="009B0114" w:rsidP="00B17386">
            <w:pPr>
              <w:pStyle w:val="CACCorps"/>
              <w:rPr>
                <w:rFonts w:eastAsia="Arial Unicode MS" w:cs="Times New Roman"/>
                <w:szCs w:val="20"/>
                <w:lang w:eastAsia="fr-FR"/>
              </w:rPr>
            </w:pPr>
            <w:r w:rsidRPr="00182A00">
              <w:rPr>
                <w:rFonts w:eastAsia="Arial Unicode MS" w:cs="Times New Roman"/>
                <w:szCs w:val="20"/>
                <w:lang w:eastAsia="fr-FR"/>
              </w:rPr>
              <w:t>Xx</w:t>
            </w:r>
            <w:r w:rsidRPr="00182A00">
              <w:rPr>
                <w:rFonts w:eastAsia="Arial Unicode MS" w:cs="Times New Roman"/>
                <w:szCs w:val="20"/>
                <w:lang w:eastAsia="fr-FR"/>
              </w:rPr>
              <w:br/>
            </w:r>
            <w:proofErr w:type="spellStart"/>
            <w:r w:rsidRPr="00182A00">
              <w:rPr>
                <w:rFonts w:eastAsia="Arial Unicode MS" w:cs="Times New Roman"/>
                <w:szCs w:val="20"/>
                <w:lang w:eastAsia="fr-FR"/>
              </w:rPr>
              <w:t>Xx</w:t>
            </w:r>
            <w:proofErr w:type="spellEnd"/>
          </w:p>
        </w:tc>
      </w:tr>
      <w:tr w:rsidR="009B0114" w:rsidRPr="00182A00" w:rsidTr="00B17386">
        <w:trPr>
          <w:trHeight w:hRule="exact" w:val="444"/>
          <w:jc w:val="center"/>
        </w:trPr>
        <w:tc>
          <w:tcPr>
            <w:tcW w:w="4610" w:type="dxa"/>
            <w:tcBorders>
              <w:top w:val="single" w:sz="4" w:space="0" w:color="auto"/>
              <w:left w:val="single" w:sz="4" w:space="0" w:color="auto"/>
              <w:bottom w:val="single" w:sz="4" w:space="0" w:color="auto"/>
              <w:right w:val="single" w:sz="4" w:space="0" w:color="auto"/>
            </w:tcBorders>
          </w:tcPr>
          <w:p w:rsidR="009B0114" w:rsidRPr="00182A00" w:rsidRDefault="009B0114" w:rsidP="00B17386">
            <w:pPr>
              <w:pStyle w:val="CACCorps"/>
              <w:rPr>
                <w:rFonts w:eastAsia="Arial Unicode MS" w:cs="Times New Roman"/>
                <w:szCs w:val="20"/>
                <w:lang w:eastAsia="fr-FR"/>
              </w:rPr>
            </w:pPr>
            <w:r w:rsidRPr="00182A00">
              <w:rPr>
                <w:rFonts w:eastAsia="Arial Unicode MS" w:cs="Times New Roman"/>
                <w:szCs w:val="20"/>
                <w:lang w:eastAsia="fr-FR"/>
              </w:rPr>
              <w:t>Résultat N-1 retraité selon le règlement n° 99-02</w:t>
            </w:r>
          </w:p>
        </w:tc>
        <w:tc>
          <w:tcPr>
            <w:tcW w:w="4611" w:type="dxa"/>
            <w:tcBorders>
              <w:top w:val="single" w:sz="4" w:space="0" w:color="auto"/>
              <w:left w:val="single" w:sz="4" w:space="0" w:color="auto"/>
              <w:bottom w:val="single" w:sz="4" w:space="0" w:color="auto"/>
              <w:right w:val="single" w:sz="4" w:space="0" w:color="auto"/>
            </w:tcBorders>
          </w:tcPr>
          <w:p w:rsidR="009B0114" w:rsidRPr="00182A00" w:rsidRDefault="009B0114" w:rsidP="00B17386">
            <w:pPr>
              <w:pStyle w:val="CACCorps"/>
              <w:rPr>
                <w:rFonts w:eastAsia="Arial Unicode MS" w:cs="Times New Roman"/>
                <w:szCs w:val="20"/>
                <w:lang w:eastAsia="fr-FR"/>
              </w:rPr>
            </w:pPr>
            <w:r w:rsidRPr="00182A00">
              <w:rPr>
                <w:rFonts w:eastAsia="Arial Unicode MS" w:cs="Times New Roman"/>
                <w:szCs w:val="20"/>
                <w:lang w:eastAsia="fr-FR"/>
              </w:rPr>
              <w:t>XX</w:t>
            </w:r>
          </w:p>
        </w:tc>
      </w:tr>
    </w:tbl>
    <w:p w:rsidR="009B0114" w:rsidRDefault="009B0114" w:rsidP="009B0114">
      <w:pPr>
        <w:pStyle w:val="CACCorps"/>
        <w:rPr>
          <w:rFonts w:eastAsia="Arial Unicode MS" w:cs="Times New Roman"/>
          <w:szCs w:val="20"/>
          <w:lang w:eastAsia="fr-FR"/>
        </w:rPr>
      </w:pPr>
    </w:p>
    <w:p w:rsidR="009B0114" w:rsidRDefault="009B0114" w:rsidP="009B0114">
      <w:pPr>
        <w:jc w:val="left"/>
        <w:rPr>
          <w:rFonts w:eastAsia="Arial Unicode MS" w:cs="Times New Roman"/>
          <w:szCs w:val="20"/>
          <w:lang w:eastAsia="fr-FR"/>
        </w:rPr>
      </w:pPr>
      <w:r>
        <w:rPr>
          <w:rFonts w:eastAsia="Arial Unicode MS" w:cs="Times New Roman"/>
          <w:szCs w:val="20"/>
          <w:lang w:eastAsia="fr-FR"/>
        </w:rPr>
        <w:br w:type="page"/>
      </w:r>
    </w:p>
    <w:p w:rsidR="009B0114" w:rsidRPr="00182A00" w:rsidRDefault="009B0114" w:rsidP="009B0114">
      <w:pPr>
        <w:pStyle w:val="CACTitre3"/>
        <w:rPr>
          <w:lang w:eastAsia="fr-FR"/>
        </w:rPr>
      </w:pPr>
      <w:bookmarkStart w:id="81" w:name="_Toc291777000"/>
      <w:bookmarkStart w:id="82" w:name="_Toc452390501"/>
      <w:r w:rsidRPr="00182A00">
        <w:rPr>
          <w:lang w:eastAsia="fr-FR"/>
        </w:rPr>
        <w:lastRenderedPageBreak/>
        <w:t>Exemples d'informations à fournir sur les principaux retraitements</w:t>
      </w:r>
      <w:bookmarkEnd w:id="81"/>
      <w:bookmarkEnd w:id="82"/>
      <w:r w:rsidRPr="00182A00">
        <w:rPr>
          <w:lang w:eastAsia="fr-FR"/>
        </w:rPr>
        <w:t xml:space="preserve"> </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Titre4"/>
        <w:rPr>
          <w:lang w:eastAsia="fr-FR"/>
        </w:rPr>
      </w:pPr>
      <w:r w:rsidRPr="00182A00">
        <w:rPr>
          <w:lang w:eastAsia="fr-FR"/>
        </w:rPr>
        <w:t>Principaux reclassements</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Certaines différences entre les IFRS et le règlement du CRC n° 99-02 sont sans incidence sur le résultat et les capitaux propres. Il s'agit notamment des différences de présentation suivantes:</w:t>
      </w: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En IFRS, les éléments d'actif et de passif sont classés en « courants » ou « non courants ».</w:t>
      </w: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Une telle distinction n'existe pas dans le règlement du CRC n° 99-02.</w:t>
      </w: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En IFRS, les « autres produits et charges » du résultat opérationnel » comprennent des éléments en nombre limité, inhabituels et peu fréquents, de montant particulièrement significatifs qui répondent à la définition d'éléments constitutifs du résultat exceptionnel de la société en application du règlement n° 99-02.</w:t>
      </w:r>
    </w:p>
    <w:p w:rsidR="009B0114" w:rsidRPr="00182A00" w:rsidRDefault="009B0114" w:rsidP="009B0114">
      <w:pPr>
        <w:pStyle w:val="CACCorps"/>
        <w:rPr>
          <w:rFonts w:eastAsia="Arial Unicode MS" w:cs="Times New Roman"/>
          <w:szCs w:val="20"/>
          <w:lang w:eastAsia="fr-FR"/>
        </w:rPr>
      </w:pPr>
    </w:p>
    <w:p w:rsidR="009B0114" w:rsidRPr="00182A00" w:rsidRDefault="009B0114" w:rsidP="009B0114">
      <w:pPr>
        <w:pStyle w:val="CACTitre4"/>
        <w:rPr>
          <w:lang w:eastAsia="fr-FR"/>
        </w:rPr>
      </w:pPr>
      <w:r w:rsidRPr="00182A00">
        <w:rPr>
          <w:lang w:eastAsia="fr-FR"/>
        </w:rPr>
        <w:t>Principaux retraitements</w:t>
      </w:r>
    </w:p>
    <w:p w:rsidR="009B0114" w:rsidRPr="00182A00" w:rsidRDefault="009B0114" w:rsidP="009B0114">
      <w:pPr>
        <w:pStyle w:val="CACCorps"/>
        <w:rPr>
          <w:rFonts w:eastAsia="Arial Unicode MS" w:cs="Times New Roman"/>
          <w:szCs w:val="20"/>
          <w:lang w:eastAsia="fr-FR"/>
        </w:rPr>
      </w:pPr>
    </w:p>
    <w:p w:rsidR="009B0114" w:rsidRDefault="009B0114" w:rsidP="009B0114">
      <w:pPr>
        <w:pStyle w:val="CACTitre5"/>
        <w:numPr>
          <w:ilvl w:val="0"/>
          <w:numId w:val="42"/>
        </w:numPr>
        <w:rPr>
          <w:lang w:eastAsia="fr-FR"/>
        </w:rPr>
      </w:pPr>
      <w:r w:rsidRPr="00182A00">
        <w:rPr>
          <w:lang w:eastAsia="fr-FR"/>
        </w:rPr>
        <w:t>Écarts d'acquisition</w:t>
      </w:r>
    </w:p>
    <w:p w:rsidR="009B0114" w:rsidRPr="00182A00" w:rsidRDefault="009B0114" w:rsidP="009B0114">
      <w:pPr>
        <w:pStyle w:val="CACTitre5"/>
        <w:ind w:left="1800" w:firstLine="0"/>
        <w:rPr>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En IFRS, les goodwill ne sont pas amortis et font l'objet d'un test de dépréciation annuel conformément à TAS 36. En règlement n° 99-</w:t>
      </w:r>
      <w:smartTag w:uri="urn:schemas-microsoft-com:office:smarttags" w:element="metricconverter">
        <w:smartTagPr>
          <w:attr w:name="ProductID" w:val="02, l"/>
        </w:smartTagPr>
        <w:r w:rsidRPr="00182A00">
          <w:rPr>
            <w:rFonts w:eastAsia="Arial Unicode MS" w:cs="Times New Roman"/>
            <w:szCs w:val="20"/>
            <w:lang w:eastAsia="fr-FR"/>
          </w:rPr>
          <w:t>02, l</w:t>
        </w:r>
      </w:smartTag>
      <w:r w:rsidRPr="00182A00">
        <w:rPr>
          <w:rFonts w:eastAsia="Arial Unicode MS" w:cs="Times New Roman"/>
          <w:szCs w:val="20"/>
          <w:lang w:eastAsia="fr-FR"/>
        </w:rPr>
        <w:t>'écart d'acquisition fait l'objet d'un amortissement selon les modalités suivantes...</w:t>
      </w:r>
    </w:p>
    <w:p w:rsidR="009B0114" w:rsidRPr="00182A00" w:rsidRDefault="009B0114" w:rsidP="009B0114">
      <w:pPr>
        <w:pStyle w:val="CACCorps"/>
        <w:rPr>
          <w:rFonts w:eastAsia="Arial Unicode MS" w:cs="Times New Roman"/>
          <w:szCs w:val="20"/>
          <w:lang w:eastAsia="fr-FR"/>
        </w:rPr>
      </w:pPr>
    </w:p>
    <w:p w:rsidR="009B0114" w:rsidRDefault="009B0114" w:rsidP="009B0114">
      <w:pPr>
        <w:pStyle w:val="CACTitre5"/>
        <w:numPr>
          <w:ilvl w:val="0"/>
          <w:numId w:val="42"/>
        </w:numPr>
        <w:rPr>
          <w:lang w:eastAsia="fr-FR"/>
        </w:rPr>
      </w:pPr>
      <w:r w:rsidRPr="00182A00">
        <w:rPr>
          <w:lang w:eastAsia="fr-FR"/>
        </w:rPr>
        <w:t>Immeubles</w:t>
      </w:r>
    </w:p>
    <w:p w:rsidR="009B0114" w:rsidRPr="00182A00" w:rsidRDefault="009B0114" w:rsidP="009B0114">
      <w:pPr>
        <w:pStyle w:val="CACTitre5"/>
        <w:ind w:left="1800" w:firstLine="0"/>
        <w:rPr>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Lors de sa transition aux IFRS, le groupe avait opté pour la réévaluation de ses immeubles. Une telle réévaluation n'est pas autorisée dans le cadre du règlement n° 99</w:t>
      </w:r>
      <w:r w:rsidRPr="00182A00">
        <w:rPr>
          <w:rFonts w:eastAsia="Arial Unicode MS" w:cs="Times New Roman"/>
          <w:szCs w:val="20"/>
          <w:lang w:eastAsia="fr-FR"/>
        </w:rPr>
        <w:softHyphen/>
        <w:t>02 ; les immeubles ont donc été retraités pour revenir à leur coût historique amorti.</w:t>
      </w:r>
    </w:p>
    <w:p w:rsidR="009B0114" w:rsidRPr="00182A00" w:rsidRDefault="009B0114" w:rsidP="009B0114">
      <w:pPr>
        <w:pStyle w:val="CACCorps"/>
        <w:rPr>
          <w:rFonts w:eastAsia="Arial Unicode MS" w:cs="Times New Roman"/>
          <w:szCs w:val="20"/>
          <w:lang w:eastAsia="fr-FR"/>
        </w:rPr>
      </w:pPr>
    </w:p>
    <w:p w:rsidR="009B0114" w:rsidRDefault="009B0114" w:rsidP="009B0114">
      <w:pPr>
        <w:pStyle w:val="CACTitre5"/>
        <w:numPr>
          <w:ilvl w:val="0"/>
          <w:numId w:val="42"/>
        </w:numPr>
        <w:rPr>
          <w:lang w:eastAsia="fr-FR"/>
        </w:rPr>
      </w:pPr>
      <w:r w:rsidRPr="00182A00">
        <w:rPr>
          <w:lang w:eastAsia="fr-FR"/>
        </w:rPr>
        <w:t>Écarts actuariels comptabilisés en capitaux propres</w:t>
      </w:r>
    </w:p>
    <w:p w:rsidR="009B0114" w:rsidRPr="00182A00" w:rsidRDefault="009B0114" w:rsidP="009B0114">
      <w:pPr>
        <w:pStyle w:val="CACTitre5"/>
        <w:ind w:left="1800" w:firstLine="0"/>
        <w:rPr>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 xml:space="preserve">Le groupe avait opté pour la comptabilisation des écarts actuariels relatifs à ses engagements de retraite et avantages similaires immédiatement et en totalité par capitaux propres conformément à TAS 19 (option </w:t>
      </w:r>
      <w:proofErr w:type="spellStart"/>
      <w:r w:rsidRPr="00182A00">
        <w:rPr>
          <w:rFonts w:eastAsia="Arial Unicode MS" w:cs="Times New Roman"/>
          <w:szCs w:val="20"/>
          <w:lang w:eastAsia="fr-FR"/>
        </w:rPr>
        <w:t>SoRIE</w:t>
      </w:r>
      <w:proofErr w:type="spellEnd"/>
      <w:r w:rsidRPr="00182A00">
        <w:rPr>
          <w:rFonts w:eastAsia="Arial Unicode MS" w:cs="Times New Roman"/>
          <w:szCs w:val="20"/>
          <w:lang w:eastAsia="fr-FR"/>
        </w:rPr>
        <w:t xml:space="preserve">). Cette méthode de comptabilisation n'est pas autorisée par le règlement du CRC n° 99-02. Le Groupe amortit désormais par le compte de résultat ses écarts actuariels selon la méthode du corridor, et ce, à compter de l'ouverture de l'exercice </w:t>
      </w:r>
      <w:proofErr w:type="gramStart"/>
      <w:r w:rsidRPr="00182A00">
        <w:rPr>
          <w:rFonts w:eastAsia="Arial Unicode MS" w:cs="Times New Roman"/>
          <w:szCs w:val="20"/>
          <w:lang w:eastAsia="fr-FR"/>
        </w:rPr>
        <w:t>N .</w:t>
      </w:r>
      <w:proofErr w:type="gramEnd"/>
    </w:p>
    <w:p w:rsidR="009B0114" w:rsidRPr="00182A00" w:rsidRDefault="009B0114" w:rsidP="009B0114">
      <w:pPr>
        <w:pStyle w:val="CACCorps"/>
        <w:rPr>
          <w:rFonts w:eastAsia="Arial Unicode MS" w:cs="Times New Roman"/>
          <w:szCs w:val="20"/>
          <w:lang w:eastAsia="fr-FR"/>
        </w:rPr>
      </w:pPr>
    </w:p>
    <w:p w:rsidR="009B0114" w:rsidRDefault="009B0114" w:rsidP="009B0114">
      <w:pPr>
        <w:pStyle w:val="CACTitre5"/>
        <w:numPr>
          <w:ilvl w:val="0"/>
          <w:numId w:val="42"/>
        </w:numPr>
        <w:rPr>
          <w:lang w:eastAsia="fr-FR"/>
        </w:rPr>
      </w:pPr>
      <w:r w:rsidRPr="00182A00">
        <w:rPr>
          <w:lang w:eastAsia="fr-FR"/>
        </w:rPr>
        <w:t>Instruments financiers</w:t>
      </w:r>
    </w:p>
    <w:p w:rsidR="009B0114" w:rsidRPr="00182A00" w:rsidRDefault="009B0114" w:rsidP="009B0114">
      <w:pPr>
        <w:pStyle w:val="CACTitre5"/>
        <w:ind w:left="1800" w:firstLine="0"/>
        <w:rPr>
          <w:lang w:eastAsia="fr-FR"/>
        </w:rPr>
      </w:pPr>
    </w:p>
    <w:p w:rsidR="009B0114" w:rsidRPr="00182A00" w:rsidRDefault="009B0114" w:rsidP="009B0114">
      <w:pPr>
        <w:pStyle w:val="CACCorps"/>
        <w:rPr>
          <w:rFonts w:eastAsia="Arial Unicode MS" w:cs="Times New Roman"/>
          <w:szCs w:val="20"/>
          <w:lang w:eastAsia="fr-FR"/>
        </w:rPr>
      </w:pPr>
      <w:r w:rsidRPr="00182A00">
        <w:rPr>
          <w:rFonts w:eastAsia="Arial Unicode MS" w:cs="Times New Roman"/>
          <w:szCs w:val="20"/>
          <w:lang w:eastAsia="fr-FR"/>
        </w:rPr>
        <w:t>Les principaux instruments financiers du groupe étaient les suivants : ……</w:t>
      </w:r>
    </w:p>
    <w:p w:rsidR="009B0114" w:rsidRPr="00182A00" w:rsidRDefault="009B0114" w:rsidP="009B0114">
      <w:pPr>
        <w:pStyle w:val="CACCorps"/>
        <w:rPr>
          <w:rFonts w:eastAsia="Arial Unicode MS" w:cs="Times New Roman"/>
          <w:szCs w:val="20"/>
          <w:lang w:eastAsia="fr-FR"/>
        </w:rPr>
      </w:pPr>
    </w:p>
    <w:p w:rsidR="009B0114" w:rsidRPr="00C851EE" w:rsidRDefault="009B0114" w:rsidP="009B0114">
      <w:pPr>
        <w:pStyle w:val="CACTitre2"/>
        <w:rPr>
          <w:lang w:eastAsia="fr-FR"/>
        </w:rPr>
      </w:pPr>
      <w:bookmarkStart w:id="83" w:name="_Toc452390502"/>
      <w:r>
        <w:rPr>
          <w:lang w:eastAsia="fr-FR"/>
        </w:rPr>
        <w:t>ANNEXES</w:t>
      </w:r>
      <w:bookmarkEnd w:id="83"/>
    </w:p>
    <w:p w:rsidR="009B0114" w:rsidRPr="00C851EE" w:rsidRDefault="009B0114" w:rsidP="009B0114">
      <w:pPr>
        <w:pStyle w:val="CACCorps"/>
        <w:rPr>
          <w:rFonts w:eastAsia="Arial Unicode MS" w:cs="Times New Roman"/>
          <w:szCs w:val="20"/>
          <w:lang w:eastAsia="fr-FR"/>
        </w:rPr>
      </w:pPr>
    </w:p>
    <w:p w:rsidR="009B0114" w:rsidRPr="00C851EE" w:rsidRDefault="009B0114" w:rsidP="009B0114">
      <w:pPr>
        <w:pStyle w:val="CACCorps"/>
        <w:rPr>
          <w:rFonts w:eastAsia="Arial Unicode MS" w:cs="Times New Roman"/>
          <w:szCs w:val="20"/>
          <w:lang w:eastAsia="fr-FR"/>
        </w:rPr>
      </w:pPr>
      <w:r w:rsidRPr="00C851EE">
        <w:rPr>
          <w:rFonts w:eastAsia="Arial Unicode MS" w:cs="Times New Roman"/>
          <w:szCs w:val="20"/>
          <w:lang w:eastAsia="fr-FR"/>
        </w:rPr>
        <w:t xml:space="preserve">Communiqué de presse de l'AMF : « Possibilité pour une société cotée sur Euronext de se transférer sur Alternext : homologation du règlement général de l'Autorité des marchés financier » - </w:t>
      </w:r>
      <w:smartTag w:uri="urn:schemas-microsoft-com:office:smarttags" w:element="date">
        <w:smartTagPr>
          <w:attr w:name="Year" w:val="2009"/>
          <w:attr w:name="Day" w:val="16"/>
          <w:attr w:name="Month" w:val="11"/>
          <w:attr w:name="ls" w:val="trans"/>
        </w:smartTagPr>
        <w:r w:rsidRPr="00C851EE">
          <w:rPr>
            <w:rFonts w:eastAsia="Arial Unicode MS" w:cs="Times New Roman"/>
            <w:szCs w:val="20"/>
            <w:lang w:eastAsia="fr-FR"/>
          </w:rPr>
          <w:t>16/11/2009</w:t>
        </w:r>
      </w:smartTag>
    </w:p>
    <w:p w:rsidR="009B0114" w:rsidRPr="00C851EE" w:rsidRDefault="009B0114" w:rsidP="009B0114">
      <w:pPr>
        <w:pStyle w:val="CACCorps"/>
        <w:rPr>
          <w:rFonts w:eastAsia="Arial Unicode MS" w:cs="Times New Roman"/>
          <w:szCs w:val="20"/>
          <w:lang w:eastAsia="fr-FR"/>
        </w:rPr>
      </w:pPr>
    </w:p>
    <w:p w:rsidR="009B0114" w:rsidRPr="00C851EE" w:rsidRDefault="009B0114" w:rsidP="009B0114">
      <w:pPr>
        <w:pStyle w:val="CACTitre5"/>
        <w:rPr>
          <w:lang w:eastAsia="fr-FR"/>
        </w:rPr>
      </w:pPr>
      <w:r w:rsidRPr="00C851EE">
        <w:rPr>
          <w:lang w:eastAsia="fr-FR"/>
        </w:rPr>
        <w:t>Rappel des textes applicables</w:t>
      </w:r>
    </w:p>
    <w:p w:rsidR="009B0114" w:rsidRPr="00C851EE" w:rsidRDefault="009B0114" w:rsidP="009B0114">
      <w:pPr>
        <w:pStyle w:val="CACCorps"/>
        <w:rPr>
          <w:rFonts w:eastAsia="Arial Unicode MS" w:cs="Times New Roman"/>
          <w:szCs w:val="20"/>
          <w:lang w:eastAsia="fr-FR"/>
        </w:rPr>
      </w:pPr>
    </w:p>
    <w:p w:rsidR="009B0114" w:rsidRPr="00C851EE" w:rsidRDefault="009B0114" w:rsidP="009B0114">
      <w:pPr>
        <w:pStyle w:val="CACCorps"/>
        <w:numPr>
          <w:ilvl w:val="0"/>
          <w:numId w:val="43"/>
        </w:numPr>
        <w:rPr>
          <w:rFonts w:eastAsia="Arial Unicode MS" w:cs="Times New Roman"/>
          <w:szCs w:val="20"/>
          <w:lang w:eastAsia="fr-FR"/>
        </w:rPr>
      </w:pPr>
      <w:r w:rsidRPr="00C851EE">
        <w:rPr>
          <w:rFonts w:eastAsia="Arial Unicode MS" w:cs="Times New Roman"/>
          <w:szCs w:val="20"/>
          <w:lang w:eastAsia="fr-FR"/>
        </w:rPr>
        <w:t xml:space="preserve">Loi n° 2009-1255 du </w:t>
      </w:r>
      <w:smartTag w:uri="urn:schemas-microsoft-com:office:smarttags" w:element="date">
        <w:smartTagPr>
          <w:attr w:name="Year" w:val="2009"/>
          <w:attr w:name="Day" w:val="19"/>
          <w:attr w:name="Month" w:val="10"/>
          <w:attr w:name="ls" w:val="trans"/>
        </w:smartTagPr>
        <w:r w:rsidRPr="00C851EE">
          <w:rPr>
            <w:rFonts w:eastAsia="Arial Unicode MS" w:cs="Times New Roman"/>
            <w:szCs w:val="20"/>
            <w:lang w:eastAsia="fr-FR"/>
          </w:rPr>
          <w:t>19 octobre 2009</w:t>
        </w:r>
      </w:smartTag>
      <w:r w:rsidRPr="00C851EE">
        <w:rPr>
          <w:rFonts w:eastAsia="Arial Unicode MS" w:cs="Times New Roman"/>
          <w:szCs w:val="20"/>
          <w:lang w:eastAsia="fr-FR"/>
        </w:rPr>
        <w:t xml:space="preserve"> tendant à favoriser l'accès au crédit des petites et moyennes entreprises et à améliorer le fonctionnement des marchés financiers : article 11 à 13 (JO du </w:t>
      </w:r>
      <w:smartTag w:uri="urn:schemas-microsoft-com:office:smarttags" w:element="date">
        <w:smartTagPr>
          <w:attr w:name="Year" w:val="2009"/>
          <w:attr w:name="Day" w:val="20"/>
          <w:attr w:name="Month" w:val="10"/>
          <w:attr w:name="ls" w:val="trans"/>
        </w:smartTagPr>
        <w:r w:rsidRPr="00C851EE">
          <w:rPr>
            <w:rFonts w:eastAsia="Arial Unicode MS" w:cs="Times New Roman"/>
            <w:szCs w:val="20"/>
            <w:lang w:eastAsia="fr-FR"/>
          </w:rPr>
          <w:t>20/10/2009</w:t>
        </w:r>
      </w:smartTag>
      <w:r w:rsidRPr="00C851EE">
        <w:rPr>
          <w:rFonts w:eastAsia="Arial Unicode MS" w:cs="Times New Roman"/>
          <w:szCs w:val="20"/>
          <w:lang w:eastAsia="fr-FR"/>
        </w:rPr>
        <w:t>)</w:t>
      </w:r>
    </w:p>
    <w:p w:rsidR="009B0114" w:rsidRPr="00C851EE" w:rsidRDefault="009B0114" w:rsidP="009B0114">
      <w:pPr>
        <w:pStyle w:val="CACCorps"/>
        <w:numPr>
          <w:ilvl w:val="0"/>
          <w:numId w:val="43"/>
        </w:numPr>
        <w:rPr>
          <w:rFonts w:eastAsia="Arial Unicode MS" w:cs="Times New Roman"/>
          <w:szCs w:val="20"/>
          <w:lang w:eastAsia="fr-FR"/>
        </w:rPr>
      </w:pPr>
      <w:r w:rsidRPr="00C851EE">
        <w:rPr>
          <w:rFonts w:eastAsia="Arial Unicode MS" w:cs="Times New Roman"/>
          <w:szCs w:val="20"/>
          <w:lang w:eastAsia="fr-FR"/>
        </w:rPr>
        <w:t xml:space="preserve">Article L. 233-7-1 du code de commerce </w:t>
      </w:r>
    </w:p>
    <w:p w:rsidR="009B0114" w:rsidRPr="00C851EE" w:rsidRDefault="009B0114" w:rsidP="009B0114">
      <w:pPr>
        <w:pStyle w:val="CACCorps"/>
        <w:numPr>
          <w:ilvl w:val="0"/>
          <w:numId w:val="43"/>
        </w:numPr>
        <w:rPr>
          <w:rFonts w:eastAsia="Arial Unicode MS" w:cs="Times New Roman"/>
          <w:szCs w:val="20"/>
          <w:lang w:eastAsia="fr-FR"/>
        </w:rPr>
      </w:pPr>
      <w:r w:rsidRPr="00C851EE">
        <w:rPr>
          <w:rFonts w:eastAsia="Arial Unicode MS" w:cs="Times New Roman"/>
          <w:szCs w:val="20"/>
          <w:lang w:eastAsia="fr-FR"/>
        </w:rPr>
        <w:lastRenderedPageBreak/>
        <w:t>Article L. 421-14 et L. 433-5 du code monétaire et financier</w:t>
      </w:r>
    </w:p>
    <w:p w:rsidR="009B0114" w:rsidRPr="00C851EE" w:rsidRDefault="009B0114" w:rsidP="009B0114">
      <w:pPr>
        <w:pStyle w:val="CACCorps"/>
        <w:numPr>
          <w:ilvl w:val="0"/>
          <w:numId w:val="43"/>
        </w:numPr>
        <w:rPr>
          <w:rFonts w:eastAsia="Arial Unicode MS" w:cs="Times New Roman"/>
          <w:szCs w:val="20"/>
          <w:lang w:eastAsia="fr-FR"/>
        </w:rPr>
      </w:pPr>
      <w:r w:rsidRPr="00C851EE">
        <w:rPr>
          <w:rFonts w:eastAsia="Arial Unicode MS" w:cs="Times New Roman"/>
          <w:szCs w:val="20"/>
          <w:lang w:eastAsia="fr-FR"/>
        </w:rPr>
        <w:t xml:space="preserve">Arrêté du </w:t>
      </w:r>
      <w:smartTag w:uri="urn:schemas-microsoft-com:office:smarttags" w:element="date">
        <w:smartTagPr>
          <w:attr w:name="Year" w:val="2009"/>
          <w:attr w:name="Day" w:val="4"/>
          <w:attr w:name="Month" w:val="11"/>
          <w:attr w:name="ls" w:val="trans"/>
        </w:smartTagPr>
        <w:r w:rsidRPr="00C851EE">
          <w:rPr>
            <w:rFonts w:eastAsia="Arial Unicode MS" w:cs="Times New Roman"/>
            <w:szCs w:val="20"/>
            <w:lang w:eastAsia="fr-FR"/>
          </w:rPr>
          <w:t>4 novembre 2009</w:t>
        </w:r>
      </w:smartTag>
      <w:r w:rsidRPr="00C851EE">
        <w:rPr>
          <w:rFonts w:eastAsia="Arial Unicode MS" w:cs="Times New Roman"/>
          <w:szCs w:val="20"/>
          <w:lang w:eastAsia="fr-FR"/>
        </w:rPr>
        <w:t xml:space="preserve"> portant homologation de modifications du règlement général de l'Autorité des marchés financiers </w:t>
      </w:r>
    </w:p>
    <w:p w:rsidR="009B0114" w:rsidRPr="00C851EE" w:rsidRDefault="009B0114" w:rsidP="009B0114">
      <w:pPr>
        <w:pStyle w:val="CACCorps"/>
        <w:numPr>
          <w:ilvl w:val="0"/>
          <w:numId w:val="43"/>
        </w:numPr>
        <w:rPr>
          <w:rFonts w:eastAsia="Arial Unicode MS" w:cs="Times New Roman"/>
          <w:szCs w:val="20"/>
          <w:lang w:eastAsia="fr-FR"/>
        </w:rPr>
      </w:pPr>
      <w:r w:rsidRPr="00C851EE">
        <w:rPr>
          <w:rFonts w:eastAsia="Arial Unicode MS" w:cs="Times New Roman"/>
          <w:szCs w:val="20"/>
          <w:lang w:eastAsia="fr-FR"/>
        </w:rPr>
        <w:t xml:space="preserve">Règlement de l'ANC n°2010-01 du </w:t>
      </w:r>
      <w:smartTag w:uri="urn:schemas-microsoft-com:office:smarttags" w:element="date">
        <w:smartTagPr>
          <w:attr w:name="Year" w:val="2010"/>
          <w:attr w:name="Day" w:val="3"/>
          <w:attr w:name="Month" w:val="6"/>
          <w:attr w:name="ls" w:val="trans"/>
        </w:smartTagPr>
        <w:r w:rsidRPr="00C851EE">
          <w:rPr>
            <w:rFonts w:eastAsia="Arial Unicode MS" w:cs="Times New Roman"/>
            <w:szCs w:val="20"/>
            <w:lang w:eastAsia="fr-FR"/>
          </w:rPr>
          <w:t>3 juin 2010</w:t>
        </w:r>
      </w:smartTag>
      <w:r w:rsidRPr="00C851EE">
        <w:rPr>
          <w:rFonts w:eastAsia="Arial Unicode MS" w:cs="Times New Roman"/>
          <w:szCs w:val="20"/>
          <w:lang w:eastAsia="fr-FR"/>
        </w:rPr>
        <w:t xml:space="preserve"> relatif aux modalités de première application du règlement du CRC n°99-02 par les sociétés dont les instruments financiers sont transférés du marché réglementé (Euronext) vers un système multilatéral de négociation (Alternext) </w:t>
      </w:r>
    </w:p>
    <w:p w:rsidR="009B0114" w:rsidRPr="00C851EE" w:rsidRDefault="009B0114" w:rsidP="009B0114">
      <w:pPr>
        <w:pStyle w:val="CACCorps"/>
        <w:numPr>
          <w:ilvl w:val="0"/>
          <w:numId w:val="43"/>
        </w:numPr>
        <w:rPr>
          <w:rFonts w:eastAsia="Arial Unicode MS" w:cs="Times New Roman"/>
          <w:szCs w:val="20"/>
          <w:lang w:eastAsia="fr-FR"/>
        </w:rPr>
      </w:pPr>
      <w:r w:rsidRPr="00C851EE">
        <w:rPr>
          <w:rFonts w:eastAsia="Arial Unicode MS" w:cs="Times New Roman"/>
          <w:szCs w:val="20"/>
          <w:lang w:eastAsia="fr-FR"/>
        </w:rPr>
        <w:t xml:space="preserve"> Recommandation de l'ANC n°2010-01 du </w:t>
      </w:r>
      <w:smartTag w:uri="urn:schemas-microsoft-com:office:smarttags" w:element="date">
        <w:smartTagPr>
          <w:attr w:name="Year" w:val="2010"/>
          <w:attr w:name="Day" w:val="3"/>
          <w:attr w:name="Month" w:val="6"/>
          <w:attr w:name="ls" w:val="trans"/>
        </w:smartTagPr>
        <w:r w:rsidRPr="00C851EE">
          <w:rPr>
            <w:rFonts w:eastAsia="Arial Unicode MS" w:cs="Times New Roman"/>
            <w:szCs w:val="20"/>
            <w:lang w:eastAsia="fr-FR"/>
          </w:rPr>
          <w:t>3 juin 2010</w:t>
        </w:r>
      </w:smartTag>
      <w:r w:rsidRPr="00C851EE">
        <w:rPr>
          <w:rFonts w:eastAsia="Arial Unicode MS" w:cs="Times New Roman"/>
          <w:szCs w:val="20"/>
          <w:lang w:eastAsia="fr-FR"/>
        </w:rPr>
        <w:t xml:space="preserve"> relative à l'application du règlement de l'ANC n°2010-01 </w:t>
      </w:r>
    </w:p>
    <w:p w:rsidR="009B0114" w:rsidRPr="00C851EE" w:rsidRDefault="009B0114" w:rsidP="009B0114">
      <w:pPr>
        <w:pStyle w:val="CACCorps"/>
        <w:numPr>
          <w:ilvl w:val="0"/>
          <w:numId w:val="43"/>
        </w:numPr>
        <w:rPr>
          <w:rFonts w:eastAsia="Arial Unicode MS" w:cs="Times New Roman"/>
          <w:szCs w:val="20"/>
          <w:lang w:eastAsia="fr-FR"/>
        </w:rPr>
      </w:pPr>
      <w:r w:rsidRPr="00C851EE">
        <w:rPr>
          <w:rFonts w:eastAsia="Arial Unicode MS" w:cs="Times New Roman"/>
          <w:szCs w:val="20"/>
          <w:lang w:eastAsia="fr-FR"/>
        </w:rPr>
        <w:t xml:space="preserve">Note de présentation du règlement de l'ANC n°2010-01 du </w:t>
      </w:r>
      <w:smartTag w:uri="urn:schemas-microsoft-com:office:smarttags" w:element="date">
        <w:smartTagPr>
          <w:attr w:name="Year" w:val="2010"/>
          <w:attr w:name="Day" w:val="3"/>
          <w:attr w:name="Month" w:val="6"/>
          <w:attr w:name="ls" w:val="trans"/>
        </w:smartTagPr>
        <w:r w:rsidRPr="00C851EE">
          <w:rPr>
            <w:rFonts w:eastAsia="Arial Unicode MS" w:cs="Times New Roman"/>
            <w:szCs w:val="20"/>
            <w:lang w:eastAsia="fr-FR"/>
          </w:rPr>
          <w:t>3 juin 2010</w:t>
        </w:r>
      </w:smartTag>
    </w:p>
    <w:p w:rsidR="009B0114" w:rsidRPr="00C851EE" w:rsidRDefault="009B0114" w:rsidP="009B0114">
      <w:pPr>
        <w:pStyle w:val="CACCorps"/>
        <w:numPr>
          <w:ilvl w:val="0"/>
          <w:numId w:val="43"/>
        </w:numPr>
        <w:rPr>
          <w:rFonts w:eastAsia="Arial Unicode MS" w:cs="Times New Roman"/>
          <w:szCs w:val="20"/>
          <w:lang w:eastAsia="fr-FR"/>
        </w:rPr>
      </w:pPr>
      <w:r w:rsidRPr="00C851EE">
        <w:rPr>
          <w:rFonts w:eastAsia="Arial Unicode MS" w:cs="Times New Roman"/>
          <w:szCs w:val="20"/>
          <w:lang w:eastAsia="fr-FR"/>
        </w:rPr>
        <w:t xml:space="preserve"> Règles d'Euronext Paris et d'Alternext Paris </w:t>
      </w:r>
    </w:p>
    <w:p w:rsidR="009B0114" w:rsidRPr="00C851EE" w:rsidRDefault="0031724C" w:rsidP="009B0114">
      <w:pPr>
        <w:pStyle w:val="CACCorps"/>
        <w:numPr>
          <w:ilvl w:val="0"/>
          <w:numId w:val="43"/>
        </w:numPr>
        <w:rPr>
          <w:rFonts w:eastAsia="Arial Unicode MS" w:cs="Times New Roman"/>
          <w:szCs w:val="20"/>
          <w:lang w:eastAsia="fr-FR"/>
        </w:rPr>
      </w:pPr>
      <w:hyperlink r:id="rId13" w:history="1">
        <w:r w:rsidR="009B0114" w:rsidRPr="00C851EE">
          <w:rPr>
            <w:rFonts w:eastAsia="Arial Unicode MS" w:cs="Times New Roman"/>
            <w:szCs w:val="20"/>
            <w:lang w:eastAsia="fr-FR"/>
          </w:rPr>
          <w:t>Position - recommandation AMF n° 2010-03 Questions - réponses de l’AMF sur le transfert vers Alternext d’une société cotée sur Euronext</w:t>
        </w:r>
      </w:hyperlink>
    </w:p>
    <w:p w:rsidR="009B0114" w:rsidRPr="00BA04E1" w:rsidRDefault="009B0114" w:rsidP="009B0114">
      <w:pPr>
        <w:pStyle w:val="CACCorps"/>
        <w:rPr>
          <w:rFonts w:eastAsia="Arial Unicode MS" w:cs="Times New Roman"/>
          <w:szCs w:val="20"/>
          <w:lang w:eastAsia="fr-FR"/>
        </w:rPr>
      </w:pPr>
    </w:p>
    <w:p w:rsidR="009B0114" w:rsidRPr="00BA04E1" w:rsidRDefault="009B0114" w:rsidP="009B0114">
      <w:pPr>
        <w:pStyle w:val="CACCorps"/>
        <w:rPr>
          <w:rFonts w:eastAsia="Arial Unicode MS" w:cs="Times New Roman"/>
          <w:szCs w:val="20"/>
          <w:lang w:eastAsia="fr-FR"/>
        </w:rPr>
      </w:pPr>
    </w:p>
    <w:p w:rsidR="00CD4EF4" w:rsidRDefault="00CD4EF4" w:rsidP="00CD4EF4">
      <w:pPr>
        <w:pStyle w:val="CACCorps"/>
      </w:pPr>
    </w:p>
    <w:p w:rsidR="00CD4EF4" w:rsidRDefault="00CD4EF4" w:rsidP="00CD4EF4">
      <w:pPr>
        <w:pStyle w:val="CACCorps"/>
      </w:pPr>
    </w:p>
    <w:p w:rsidR="00165177" w:rsidRPr="004855CD" w:rsidRDefault="00165177" w:rsidP="00CD4EF4">
      <w:pPr>
        <w:pStyle w:val="CACCorps"/>
      </w:pPr>
    </w:p>
    <w:sectPr w:rsidR="00165177" w:rsidRPr="004855CD" w:rsidSect="0012765C">
      <w:headerReference w:type="default" r:id="rId14"/>
      <w:footerReference w:type="default" r:id="rId15"/>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24C" w:rsidRDefault="0031724C" w:rsidP="00706B95">
      <w:r>
        <w:separator/>
      </w:r>
    </w:p>
  </w:endnote>
  <w:endnote w:type="continuationSeparator" w:id="0">
    <w:p w:rsidR="0031724C" w:rsidRDefault="0031724C" w:rsidP="00706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vant Garde">
    <w:altName w:val="Century Gothic"/>
    <w:panose1 w:val="00000000000000000000"/>
    <w:charset w:val="4D"/>
    <w:family w:val="auto"/>
    <w:notTrueType/>
    <w:pitch w:val="default"/>
  </w:font>
  <w:font w:name="Arial Unicode MS">
    <w:panose1 w:val="020B0604020202020204"/>
    <w:charset w:val="00"/>
    <w:family w:val="roman"/>
    <w:notTrueType/>
    <w:pitch w:val="variable"/>
    <w:sig w:usb0="00000003" w:usb1="00000000" w:usb2="00000000" w:usb3="00000000" w:csb0="00000001" w:csb1="00000000"/>
  </w:font>
  <w:font w:name="AvantGarde">
    <w:altName w:val="Century Gothic"/>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487" w:rsidRDefault="00374FE8" w:rsidP="00010881">
    <w:pPr>
      <w:pStyle w:val="Pieddepage"/>
    </w:pPr>
    <w:r w:rsidRPr="00955315">
      <w:rPr>
        <w:b/>
        <w:noProof/>
        <w:color w:val="0070C0"/>
        <w:sz w:val="52"/>
        <w:szCs w:val="52"/>
        <w:lang w:eastAsia="fr-FR"/>
      </w:rPr>
      <mc:AlternateContent>
        <mc:Choice Requires="wps">
          <w:drawing>
            <wp:anchor distT="0" distB="0" distL="114300" distR="114300" simplePos="0" relativeHeight="251663360" behindDoc="0" locked="0" layoutInCell="1" allowOverlap="1" wp14:anchorId="659598F9" wp14:editId="371A769A">
              <wp:simplePos x="0" y="0"/>
              <wp:positionH relativeFrom="column">
                <wp:posOffset>-167005</wp:posOffset>
              </wp:positionH>
              <wp:positionV relativeFrom="paragraph">
                <wp:posOffset>-53340</wp:posOffset>
              </wp:positionV>
              <wp:extent cx="6823710" cy="582295"/>
              <wp:effectExtent l="0" t="0" r="0" b="84455"/>
              <wp:wrapNone/>
              <wp:docPr id="1651" name="Zone de texte 1651"/>
              <wp:cNvGraphicFramePr/>
              <a:graphic xmlns:a="http://schemas.openxmlformats.org/drawingml/2006/main">
                <a:graphicData uri="http://schemas.microsoft.com/office/word/2010/wordprocessingShape">
                  <wps:wsp>
                    <wps:cNvSpPr txBox="1"/>
                    <wps:spPr>
                      <a:xfrm>
                        <a:off x="0" y="0"/>
                        <a:ext cx="6823710" cy="582295"/>
                      </a:xfrm>
                      <a:prstGeom prst="rect">
                        <a:avLst/>
                      </a:prstGeom>
                      <a:noFill/>
                      <a:ln>
                        <a:noFill/>
                      </a:ln>
                    </wps:spPr>
                    <wps:style>
                      <a:lnRef idx="0">
                        <a:schemeClr val="accent2"/>
                      </a:lnRef>
                      <a:fillRef idx="3">
                        <a:schemeClr val="accent2"/>
                      </a:fillRef>
                      <a:effectRef idx="3">
                        <a:schemeClr val="accent2"/>
                      </a:effectRef>
                      <a:fontRef idx="minor">
                        <a:schemeClr val="lt1"/>
                      </a:fontRef>
                    </wps:style>
                    <wps:txbx>
                      <w:txbxContent>
                        <w:p w:rsidR="007E0487" w:rsidRDefault="007E0487" w:rsidP="00010881">
                          <w:pPr>
                            <w:tabs>
                              <w:tab w:val="right" w:pos="10206"/>
                            </w:tabs>
                            <w:rPr>
                              <w:b/>
                              <w:color w:val="241820" w:themeColor="accent4" w:themeShade="80"/>
                            </w:rPr>
                          </w:pPr>
                          <w:r w:rsidRPr="005C5414">
                            <w:rPr>
                              <w:b/>
                              <w:color w:val="241820" w:themeColor="accent4" w:themeShade="80"/>
                            </w:rPr>
                            <w:t xml:space="preserve">Manuel CAC – </w:t>
                          </w:r>
                          <w:r w:rsidR="00822370">
                            <w:rPr>
                              <w:b/>
                              <w:color w:val="241820" w:themeColor="accent4" w:themeShade="80"/>
                            </w:rPr>
                            <w:t>Mai</w:t>
                          </w:r>
                          <w:r w:rsidRPr="005C5414">
                            <w:rPr>
                              <w:b/>
                              <w:color w:val="241820" w:themeColor="accent4" w:themeShade="80"/>
                            </w:rPr>
                            <w:t xml:space="preserve"> 201</w:t>
                          </w:r>
                          <w:r w:rsidR="00822370">
                            <w:rPr>
                              <w:b/>
                              <w:color w:val="241820" w:themeColor="accent4" w:themeShade="80"/>
                            </w:rPr>
                            <w:t>6</w:t>
                          </w:r>
                          <w:r w:rsidRPr="005C5414">
                            <w:rPr>
                              <w:b/>
                              <w:color w:val="241820" w:themeColor="accent4" w:themeShade="80"/>
                            </w:rPr>
                            <w:tab/>
                          </w:r>
                          <w:r w:rsidR="00E50D53" w:rsidRPr="00E50D53">
                            <w:rPr>
                              <w:b/>
                              <w:color w:val="241820" w:themeColor="accent4" w:themeShade="80"/>
                            </w:rPr>
                            <w:t xml:space="preserve">Chapitre </w:t>
                          </w:r>
                          <w:r w:rsidR="009B0114" w:rsidRPr="009B0114">
                            <w:rPr>
                              <w:b/>
                              <w:color w:val="241820" w:themeColor="accent4" w:themeShade="80"/>
                            </w:rPr>
                            <w:t>2420 – Marché Alternext</w:t>
                          </w:r>
                        </w:p>
                        <w:p w:rsidR="00374FE8" w:rsidRPr="00DA2B39" w:rsidRDefault="00374FE8" w:rsidP="00010881">
                          <w:pPr>
                            <w:tabs>
                              <w:tab w:val="right" w:pos="10206"/>
                            </w:tabs>
                            <w:rPr>
                              <w:b/>
                              <w:color w:val="241820" w:themeColor="accent4" w:themeShade="80"/>
                            </w:rPr>
                          </w:pPr>
                          <w:r w:rsidRPr="00374FE8">
                            <w:rPr>
                              <w:b/>
                              <w:i/>
                              <w:color w:val="241820" w:themeColor="accent4" w:themeShade="80"/>
                              <w:sz w:val="16"/>
                            </w:rPr>
                            <w:t>© - ATH tous droits réservés</w:t>
                          </w:r>
                          <w:r w:rsidR="00DA2B39" w:rsidRPr="00DA2B39">
                            <w:rPr>
                              <w:b/>
                              <w:color w:val="241820" w:themeColor="accent4" w:themeShade="80"/>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651" o:spid="_x0000_s1029" type="#_x0000_t202" style="position:absolute;left:0;text-align:left;margin-left:-13.15pt;margin-top:-4.2pt;width:537.3pt;height:45.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" filled="f" stroked="f">
              <v:shadow on="t" color="black" opacity="22937f" origin=",.5" offset="0,.63889mm"/>
              <v:textbox>
                <w:txbxContent>
                  <w:p w:rsidR="007E0487" w:rsidRDefault="007E0487" w:rsidP="00010881">
                    <w:pPr>
                      <w:tabs>
                        <w:tab w:val="right" w:pos="10206"/>
                      </w:tabs>
                      <w:rPr>
                        <w:b/>
                        <w:color w:val="241820" w:themeColor="accent4" w:themeShade="80"/>
                      </w:rPr>
                    </w:pPr>
                    <w:r w:rsidRPr="005C5414">
                      <w:rPr>
                        <w:b/>
                        <w:color w:val="241820" w:themeColor="accent4" w:themeShade="80"/>
                      </w:rPr>
                      <w:t xml:space="preserve">Manuel CAC – </w:t>
                    </w:r>
                    <w:r w:rsidR="00822370">
                      <w:rPr>
                        <w:b/>
                        <w:color w:val="241820" w:themeColor="accent4" w:themeShade="80"/>
                      </w:rPr>
                      <w:t>Mai</w:t>
                    </w:r>
                    <w:r w:rsidRPr="005C5414">
                      <w:rPr>
                        <w:b/>
                        <w:color w:val="241820" w:themeColor="accent4" w:themeShade="80"/>
                      </w:rPr>
                      <w:t xml:space="preserve"> 201</w:t>
                    </w:r>
                    <w:r w:rsidR="00822370">
                      <w:rPr>
                        <w:b/>
                        <w:color w:val="241820" w:themeColor="accent4" w:themeShade="80"/>
                      </w:rPr>
                      <w:t>6</w:t>
                    </w:r>
                    <w:r w:rsidRPr="005C5414">
                      <w:rPr>
                        <w:b/>
                        <w:color w:val="241820" w:themeColor="accent4" w:themeShade="80"/>
                      </w:rPr>
                      <w:tab/>
                    </w:r>
                    <w:r w:rsidR="00E50D53" w:rsidRPr="00E50D53">
                      <w:rPr>
                        <w:b/>
                        <w:color w:val="241820" w:themeColor="accent4" w:themeShade="80"/>
                      </w:rPr>
                      <w:t xml:space="preserve">Chapitre </w:t>
                    </w:r>
                    <w:r w:rsidR="009B0114" w:rsidRPr="009B0114">
                      <w:rPr>
                        <w:b/>
                        <w:color w:val="241820" w:themeColor="accent4" w:themeShade="80"/>
                      </w:rPr>
                      <w:t>2420 – Marché Alternext</w:t>
                    </w:r>
                  </w:p>
                  <w:p w:rsidR="00374FE8" w:rsidRPr="00DA2B39" w:rsidRDefault="00374FE8" w:rsidP="00010881">
                    <w:pPr>
                      <w:tabs>
                        <w:tab w:val="right" w:pos="10206"/>
                      </w:tabs>
                      <w:rPr>
                        <w:b/>
                        <w:color w:val="241820" w:themeColor="accent4" w:themeShade="80"/>
                      </w:rPr>
                    </w:pPr>
                    <w:r w:rsidRPr="00374FE8">
                      <w:rPr>
                        <w:b/>
                        <w:i/>
                        <w:color w:val="241820" w:themeColor="accent4" w:themeShade="80"/>
                        <w:sz w:val="16"/>
                      </w:rPr>
                      <w:t>© - ATH tous droits réservés</w:t>
                    </w:r>
                    <w:r w:rsidR="00DA2B39" w:rsidRPr="00DA2B39">
                      <w:rPr>
                        <w:b/>
                        <w:color w:val="241820" w:themeColor="accent4" w:themeShade="80"/>
                      </w:rPr>
                      <w:tab/>
                    </w:r>
                  </w:p>
                </w:txbxContent>
              </v:textbox>
            </v:shape>
          </w:pict>
        </mc:Fallback>
      </mc:AlternateContent>
    </w:r>
    <w:r w:rsidR="007E0487">
      <w:rPr>
        <w:b/>
        <w:noProof/>
        <w:color w:val="0070C0"/>
        <w:sz w:val="52"/>
        <w:szCs w:val="52"/>
        <w:lang w:eastAsia="fr-FR"/>
      </w:rPr>
      <mc:AlternateContent>
        <mc:Choice Requires="wps">
          <w:drawing>
            <wp:anchor distT="0" distB="0" distL="114300" distR="114300" simplePos="0" relativeHeight="251667456" behindDoc="0" locked="0" layoutInCell="1" allowOverlap="1" wp14:anchorId="0D44CC3D" wp14:editId="235BEEEB">
              <wp:simplePos x="0" y="0"/>
              <wp:positionH relativeFrom="column">
                <wp:posOffset>-467716</wp:posOffset>
              </wp:positionH>
              <wp:positionV relativeFrom="paragraph">
                <wp:posOffset>-53528</wp:posOffset>
              </wp:positionV>
              <wp:extent cx="7131720" cy="6985"/>
              <wp:effectExtent l="0" t="0" r="12065" b="31115"/>
              <wp:wrapNone/>
              <wp:docPr id="14" name="Connecteur droit 14"/>
              <wp:cNvGraphicFramePr/>
              <a:graphic xmlns:a="http://schemas.openxmlformats.org/drawingml/2006/main">
                <a:graphicData uri="http://schemas.microsoft.com/office/word/2010/wordprocessingShape">
                  <wps:wsp>
                    <wps:cNvCnPr/>
                    <wps:spPr>
                      <a:xfrm>
                        <a:off x="0" y="0"/>
                        <a:ext cx="7131720" cy="6985"/>
                      </a:xfrm>
                      <a:prstGeom prst="line">
                        <a:avLst/>
                      </a:prstGeom>
                      <a:ln w="19050">
                        <a:solidFill>
                          <a:schemeClr val="accent2">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85pt,-4.2pt" to="524.7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" strokecolor="#8a4a71 [2405]" strokeweight="1.5p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24C" w:rsidRDefault="0031724C" w:rsidP="00706B95">
      <w:r>
        <w:separator/>
      </w:r>
    </w:p>
  </w:footnote>
  <w:footnote w:type="continuationSeparator" w:id="0">
    <w:p w:rsidR="0031724C" w:rsidRDefault="0031724C" w:rsidP="00706B95">
      <w:r>
        <w:continuationSeparator/>
      </w:r>
    </w:p>
  </w:footnote>
  <w:footnote w:id="1">
    <w:p w:rsidR="009B0114" w:rsidRDefault="009B0114" w:rsidP="009B0114">
      <w:pPr>
        <w:pStyle w:val="Notedebasdepage"/>
      </w:pPr>
      <w:r>
        <w:rPr>
          <w:rStyle w:val="Appelnotedebasdep"/>
        </w:rPr>
        <w:footnoteRef/>
      </w:r>
      <w:r>
        <w:t xml:space="preserve"> L’expression couramment utilisée dans le Code de commerce est « système multilatéral de négociation qui se soumet aux dispositions législatives ou réglementaires visant à protéger les investisseurs contre les opérations d'initiés, les manipulations de cours et la diffusion de fausses informations ».</w:t>
      </w:r>
    </w:p>
  </w:footnote>
  <w:footnote w:id="2">
    <w:p w:rsidR="009B0114" w:rsidRDefault="009B0114" w:rsidP="009B0114">
      <w:pPr>
        <w:pStyle w:val="Notedebasdepage"/>
      </w:pPr>
      <w:r>
        <w:rPr>
          <w:rStyle w:val="Appelnotedebasdep"/>
        </w:rPr>
        <w:footnoteRef/>
      </w:r>
      <w:r>
        <w:t xml:space="preserve"> Voir la liste des investisseurs qualifiés selon les articles D.411-1 et D.411-2 du Cd Mon et Fin en Annexe 1</w:t>
      </w:r>
    </w:p>
  </w:footnote>
  <w:footnote w:id="3">
    <w:p w:rsidR="009B0114" w:rsidRDefault="009B0114" w:rsidP="009B0114">
      <w:pPr>
        <w:pStyle w:val="Notedebasdepage"/>
      </w:pPr>
      <w:r>
        <w:rPr>
          <w:rStyle w:val="Appelnotedebasdep"/>
        </w:rPr>
        <w:footnoteRef/>
      </w:r>
      <w:r>
        <w:t xml:space="preserve"> Les retraitements les plus significatifs doivent être identifiés un par un et les autres regroupés sur une ligne intitulée « Autres retraitements ».</w:t>
      </w:r>
    </w:p>
    <w:p w:rsidR="009B0114" w:rsidRDefault="009B0114" w:rsidP="009B0114">
      <w:pPr>
        <w:pStyle w:val="Notedebasdepage"/>
      </w:pPr>
      <w:r>
        <w:t>Un tableau de rapprochement identique de la situation nette devra être présenté à la clôture de l’exercice N-1.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487" w:rsidRDefault="007E0487">
    <w:pPr>
      <w:pStyle w:val="En-tte"/>
    </w:pPr>
    <w:r>
      <w:rPr>
        <w:noProof/>
        <w:lang w:eastAsia="fr-FR"/>
      </w:rPr>
      <mc:AlternateContent>
        <mc:Choice Requires="wps">
          <w:drawing>
            <wp:anchor distT="0" distB="0" distL="114300" distR="114300" simplePos="0" relativeHeight="251659264" behindDoc="0" locked="0" layoutInCell="0" allowOverlap="1" wp14:anchorId="53B851B5" wp14:editId="61237700">
              <wp:simplePos x="0" y="0"/>
              <wp:positionH relativeFrom="margin">
                <wp:posOffset>6002789</wp:posOffset>
              </wp:positionH>
              <wp:positionV relativeFrom="topMargin">
                <wp:posOffset>10048</wp:posOffset>
              </wp:positionV>
              <wp:extent cx="381900" cy="462225"/>
              <wp:effectExtent l="57150" t="19050" r="75565" b="90805"/>
              <wp:wrapNone/>
              <wp:docPr id="659" name="Ellips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900" cy="462225"/>
                      </a:xfrm>
                      <a:prstGeom prst="foldedCorner">
                        <a:avLst/>
                      </a:prstGeom>
                      <a:solidFill>
                        <a:srgbClr val="7030A0"/>
                      </a:solidFill>
                      <a:ln>
                        <a:solidFill>
                          <a:srgbClr val="7030A0"/>
                        </a:solidFill>
                      </a:ln>
                      <a:extLst/>
                    </wps:spPr>
                    <wps:style>
                      <a:lnRef idx="1">
                        <a:schemeClr val="accent2"/>
                      </a:lnRef>
                      <a:fillRef idx="3">
                        <a:schemeClr val="accent2"/>
                      </a:fillRef>
                      <a:effectRef idx="2">
                        <a:schemeClr val="accent2"/>
                      </a:effectRef>
                      <a:fontRef idx="minor">
                        <a:schemeClr val="lt1"/>
                      </a:fontRef>
                    </wps:style>
                    <wps:txbx>
                      <w:txbxContent>
                        <w:p w:rsidR="007E0487" w:rsidRPr="0058523B" w:rsidRDefault="007E0487" w:rsidP="006B0623">
                          <w:pPr>
                            <w:pStyle w:val="Pieddepage"/>
                            <w:jc w:val="center"/>
                            <w:rPr>
                              <w:b/>
                              <w:bCs/>
                              <w:color w:val="FFFFFF" w:themeColor="background1"/>
                              <w:szCs w:val="20"/>
                            </w:rPr>
                          </w:pPr>
                          <w:r w:rsidRPr="0058523B">
                            <w:rPr>
                              <w:b/>
                              <w:szCs w:val="20"/>
                            </w:rPr>
                            <w:fldChar w:fldCharType="begin"/>
                          </w:r>
                          <w:r w:rsidRPr="0058523B">
                            <w:rPr>
                              <w:b/>
                              <w:szCs w:val="20"/>
                            </w:rPr>
                            <w:instrText>PAGE    \* MERGEFORMAT</w:instrText>
                          </w:r>
                          <w:r w:rsidRPr="0058523B">
                            <w:rPr>
                              <w:b/>
                              <w:szCs w:val="20"/>
                            </w:rPr>
                            <w:fldChar w:fldCharType="separate"/>
                          </w:r>
                          <w:r w:rsidR="00517980" w:rsidRPr="00517980">
                            <w:rPr>
                              <w:b/>
                              <w:bCs/>
                              <w:noProof/>
                              <w:color w:val="FFFFFF" w:themeColor="background1"/>
                              <w:szCs w:val="20"/>
                            </w:rPr>
                            <w:t>24</w:t>
                          </w:r>
                          <w:r w:rsidRPr="0058523B">
                            <w:rPr>
                              <w:b/>
                              <w:bCs/>
                              <w:color w:val="FFFFFF" w:themeColor="background1"/>
                              <w:szCs w:val="20"/>
                            </w:rPr>
                            <w:fldChar w:fldCharType="end"/>
                          </w:r>
                          <w:r w:rsidR="00C436FD">
                            <w:rPr>
                              <w:b/>
                              <w:bCs/>
                              <w:color w:val="FFFFFF" w:themeColor="background1"/>
                              <w:szCs w:val="20"/>
                            </w:rPr>
                            <w:t>/</w:t>
                          </w:r>
                          <w:r w:rsidR="00C436FD">
                            <w:rPr>
                              <w:b/>
                              <w:bCs/>
                              <w:color w:val="FFFFFF" w:themeColor="background1"/>
                              <w:szCs w:val="20"/>
                            </w:rPr>
                            <w:fldChar w:fldCharType="begin"/>
                          </w:r>
                          <w:r w:rsidR="00C436FD">
                            <w:rPr>
                              <w:b/>
                              <w:bCs/>
                              <w:color w:val="FFFFFF" w:themeColor="background1"/>
                              <w:szCs w:val="20"/>
                            </w:rPr>
                            <w:instrText xml:space="preserve"> NUMPAGES   \* MERGEFORMAT </w:instrText>
                          </w:r>
                          <w:r w:rsidR="00C436FD">
                            <w:rPr>
                              <w:b/>
                              <w:bCs/>
                              <w:color w:val="FFFFFF" w:themeColor="background1"/>
                              <w:szCs w:val="20"/>
                            </w:rPr>
                            <w:fldChar w:fldCharType="separate"/>
                          </w:r>
                          <w:r w:rsidR="00517980">
                            <w:rPr>
                              <w:b/>
                              <w:bCs/>
                              <w:noProof/>
                              <w:color w:val="FFFFFF" w:themeColor="background1"/>
                              <w:szCs w:val="20"/>
                            </w:rPr>
                            <w:t>24</w:t>
                          </w:r>
                          <w:r w:rsidR="00C436FD">
                            <w:rPr>
                              <w:b/>
                              <w:bCs/>
                              <w:color w:val="FFFFFF" w:themeColor="background1"/>
                              <w:szCs w:val="20"/>
                            </w:rPr>
                            <w:fldChar w:fldCharType="end"/>
                          </w:r>
                        </w:p>
                      </w:txbxContent>
                    </wps:txbx>
                    <wps:bodyPr rot="0" vert="horz" wrap="square" lIns="0" tIns="45720" rIns="0" bIns="4572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Ellipse 12" o:spid="_x0000_s1028" type="#_x0000_t65" style="position:absolute;left:0;text-align:left;margin-left:472.65pt;margin-top:.8pt;width:30.05pt;height:36.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" o:allowincell="f" adj="18000" fillcolor="#7030a0" strokecolor="#7030a0">
              <v:shadow on="t" color="black" opacity="22937f" origin=",.5" offset="0,.63889mm"/>
              <v:textbox inset="0,,0">
                <w:txbxContent>
                  <w:p w:rsidR="007E0487" w:rsidRPr="0058523B" w:rsidRDefault="007E0487" w:rsidP="006B0623">
                    <w:pPr>
                      <w:pStyle w:val="Pieddepage"/>
                      <w:jc w:val="center"/>
                      <w:rPr>
                        <w:b/>
                        <w:bCs/>
                        <w:color w:val="FFFFFF" w:themeColor="background1"/>
                        <w:szCs w:val="20"/>
                      </w:rPr>
                    </w:pPr>
                    <w:r w:rsidRPr="0058523B">
                      <w:rPr>
                        <w:b/>
                        <w:szCs w:val="20"/>
                      </w:rPr>
                      <w:fldChar w:fldCharType="begin"/>
                    </w:r>
                    <w:r w:rsidRPr="0058523B">
                      <w:rPr>
                        <w:b/>
                        <w:szCs w:val="20"/>
                      </w:rPr>
                      <w:instrText>PAGE    \* MERGEFORMAT</w:instrText>
                    </w:r>
                    <w:r w:rsidRPr="0058523B">
                      <w:rPr>
                        <w:b/>
                        <w:szCs w:val="20"/>
                      </w:rPr>
                      <w:fldChar w:fldCharType="separate"/>
                    </w:r>
                    <w:r w:rsidR="00517980" w:rsidRPr="00517980">
                      <w:rPr>
                        <w:b/>
                        <w:bCs/>
                        <w:noProof/>
                        <w:color w:val="FFFFFF" w:themeColor="background1"/>
                        <w:szCs w:val="20"/>
                      </w:rPr>
                      <w:t>24</w:t>
                    </w:r>
                    <w:r w:rsidRPr="0058523B">
                      <w:rPr>
                        <w:b/>
                        <w:bCs/>
                        <w:color w:val="FFFFFF" w:themeColor="background1"/>
                        <w:szCs w:val="20"/>
                      </w:rPr>
                      <w:fldChar w:fldCharType="end"/>
                    </w:r>
                    <w:r w:rsidR="00C436FD">
                      <w:rPr>
                        <w:b/>
                        <w:bCs/>
                        <w:color w:val="FFFFFF" w:themeColor="background1"/>
                        <w:szCs w:val="20"/>
                      </w:rPr>
                      <w:t>/</w:t>
                    </w:r>
                    <w:r w:rsidR="00C436FD">
                      <w:rPr>
                        <w:b/>
                        <w:bCs/>
                        <w:color w:val="FFFFFF" w:themeColor="background1"/>
                        <w:szCs w:val="20"/>
                      </w:rPr>
                      <w:fldChar w:fldCharType="begin"/>
                    </w:r>
                    <w:r w:rsidR="00C436FD">
                      <w:rPr>
                        <w:b/>
                        <w:bCs/>
                        <w:color w:val="FFFFFF" w:themeColor="background1"/>
                        <w:szCs w:val="20"/>
                      </w:rPr>
                      <w:instrText xml:space="preserve"> NUMPAGES   \* MERGEFORMAT </w:instrText>
                    </w:r>
                    <w:r w:rsidR="00C436FD">
                      <w:rPr>
                        <w:b/>
                        <w:bCs/>
                        <w:color w:val="FFFFFF" w:themeColor="background1"/>
                        <w:szCs w:val="20"/>
                      </w:rPr>
                      <w:fldChar w:fldCharType="separate"/>
                    </w:r>
                    <w:r w:rsidR="00517980">
                      <w:rPr>
                        <w:b/>
                        <w:bCs/>
                        <w:noProof/>
                        <w:color w:val="FFFFFF" w:themeColor="background1"/>
                        <w:szCs w:val="20"/>
                      </w:rPr>
                      <w:t>24</w:t>
                    </w:r>
                    <w:r w:rsidR="00C436FD">
                      <w:rPr>
                        <w:b/>
                        <w:bCs/>
                        <w:color w:val="FFFFFF" w:themeColor="background1"/>
                        <w:szCs w:val="20"/>
                      </w:rPr>
                      <w:fldChar w:fldCharType="end"/>
                    </w:r>
                  </w:p>
                </w:txbxContent>
              </v:textbox>
              <w10:wrap anchorx="margin" anchory="margin"/>
            </v:shape>
          </w:pict>
        </mc:Fallback>
      </mc:AlternateContent>
    </w:r>
    <w:r>
      <w:rPr>
        <w:noProof/>
        <w:lang w:eastAsia="fr-FR"/>
      </w:rPr>
      <mc:AlternateContent>
        <mc:Choice Requires="wps">
          <w:drawing>
            <wp:anchor distT="0" distB="0" distL="114300" distR="114300" simplePos="0" relativeHeight="251666432" behindDoc="0" locked="0" layoutInCell="1" allowOverlap="1" wp14:anchorId="28992A92" wp14:editId="1702E847">
              <wp:simplePos x="0" y="0"/>
              <wp:positionH relativeFrom="column">
                <wp:posOffset>-196410</wp:posOffset>
              </wp:positionH>
              <wp:positionV relativeFrom="paragraph">
                <wp:posOffset>444723</wp:posOffset>
              </wp:positionV>
              <wp:extent cx="30145" cy="9475596"/>
              <wp:effectExtent l="0" t="0" r="27305" b="11430"/>
              <wp:wrapNone/>
              <wp:docPr id="13" name="Connecteur droit 13"/>
              <wp:cNvGraphicFramePr/>
              <a:graphic xmlns:a="http://schemas.openxmlformats.org/drawingml/2006/main">
                <a:graphicData uri="http://schemas.microsoft.com/office/word/2010/wordprocessingShape">
                  <wps:wsp>
                    <wps:cNvCnPr/>
                    <wps:spPr>
                      <a:xfrm>
                        <a:off x="0" y="0"/>
                        <a:ext cx="30145" cy="9475596"/>
                      </a:xfrm>
                      <a:prstGeom prst="line">
                        <a:avLst/>
                      </a:prstGeom>
                      <a:ln w="19050">
                        <a:solidFill>
                          <a:srgbClr val="7030A0"/>
                        </a:solidFill>
                        <a:headEnd w="sm" len="sm"/>
                        <a:tailEnd w="med"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45pt,35pt" to="-13.1pt,78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" strokecolor="#7030a0" strokeweight="1.5pt">
              <v:stroke startarrowwidth="narrow" startarrowlength="short" endarrowlength="long"/>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B277B"/>
    <w:multiLevelType w:val="hybridMultilevel"/>
    <w:tmpl w:val="ADF8879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
    <w:nsid w:val="02CF7E72"/>
    <w:multiLevelType w:val="hybridMultilevel"/>
    <w:tmpl w:val="7ED8A7E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nsid w:val="098C034A"/>
    <w:multiLevelType w:val="hybridMultilevel"/>
    <w:tmpl w:val="AFA848E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
    <w:nsid w:val="0B4742C3"/>
    <w:multiLevelType w:val="hybridMultilevel"/>
    <w:tmpl w:val="DCEA9C2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4">
    <w:nsid w:val="0B5A2D46"/>
    <w:multiLevelType w:val="hybridMultilevel"/>
    <w:tmpl w:val="2C3EB806"/>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5">
    <w:nsid w:val="0CB64AF2"/>
    <w:multiLevelType w:val="hybridMultilevel"/>
    <w:tmpl w:val="D280156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6">
    <w:nsid w:val="0F4C0DF7"/>
    <w:multiLevelType w:val="hybridMultilevel"/>
    <w:tmpl w:val="C6844E96"/>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7">
    <w:nsid w:val="109425A7"/>
    <w:multiLevelType w:val="hybridMultilevel"/>
    <w:tmpl w:val="53787BBA"/>
    <w:lvl w:ilvl="0" w:tplc="040C0005">
      <w:start w:val="1"/>
      <w:numFmt w:val="bullet"/>
      <w:lvlText w:val=""/>
      <w:lvlJc w:val="left"/>
      <w:pPr>
        <w:ind w:left="766" w:hanging="360"/>
      </w:pPr>
      <w:rPr>
        <w:rFonts w:ascii="Wingdings" w:hAnsi="Wingdings"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8">
    <w:nsid w:val="134E52A9"/>
    <w:multiLevelType w:val="hybridMultilevel"/>
    <w:tmpl w:val="DEF4E69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9">
    <w:nsid w:val="14BE6980"/>
    <w:multiLevelType w:val="hybridMultilevel"/>
    <w:tmpl w:val="C8AC284C"/>
    <w:lvl w:ilvl="0" w:tplc="040C0001">
      <w:start w:val="1"/>
      <w:numFmt w:val="bullet"/>
      <w:lvlText w:val=""/>
      <w:lvlJc w:val="left"/>
      <w:pPr>
        <w:ind w:left="766" w:hanging="360"/>
      </w:pPr>
      <w:rPr>
        <w:rFonts w:ascii="Symbol" w:hAnsi="Symbol" w:hint="default"/>
      </w:rPr>
    </w:lvl>
    <w:lvl w:ilvl="1" w:tplc="040C0003">
      <w:start w:val="1"/>
      <w:numFmt w:val="bullet"/>
      <w:lvlText w:val="o"/>
      <w:lvlJc w:val="left"/>
      <w:pPr>
        <w:ind w:left="1486" w:hanging="360"/>
      </w:pPr>
      <w:rPr>
        <w:rFonts w:ascii="Courier New" w:hAnsi="Courier New" w:cs="Courier New" w:hint="default"/>
      </w:rPr>
    </w:lvl>
    <w:lvl w:ilvl="2" w:tplc="040C0005">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0">
    <w:nsid w:val="19713C17"/>
    <w:multiLevelType w:val="hybridMultilevel"/>
    <w:tmpl w:val="FE161FDE"/>
    <w:lvl w:ilvl="0" w:tplc="040C0005">
      <w:start w:val="1"/>
      <w:numFmt w:val="bullet"/>
      <w:lvlText w:val=""/>
      <w:lvlJc w:val="left"/>
      <w:pPr>
        <w:ind w:left="766" w:hanging="360"/>
      </w:pPr>
      <w:rPr>
        <w:rFonts w:ascii="Wingdings" w:hAnsi="Wingdings"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1">
    <w:nsid w:val="19DC3CC8"/>
    <w:multiLevelType w:val="hybridMultilevel"/>
    <w:tmpl w:val="14E4F678"/>
    <w:lvl w:ilvl="0" w:tplc="040C0005">
      <w:start w:val="1"/>
      <w:numFmt w:val="bullet"/>
      <w:lvlText w:val=""/>
      <w:lvlJc w:val="left"/>
      <w:pPr>
        <w:ind w:left="766" w:hanging="360"/>
      </w:pPr>
      <w:rPr>
        <w:rFonts w:ascii="Wingdings" w:hAnsi="Wingdings"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2">
    <w:nsid w:val="2059220B"/>
    <w:multiLevelType w:val="hybridMultilevel"/>
    <w:tmpl w:val="6FE0460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3">
    <w:nsid w:val="23A36371"/>
    <w:multiLevelType w:val="hybridMultilevel"/>
    <w:tmpl w:val="79BC7C5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nsid w:val="24C608D6"/>
    <w:multiLevelType w:val="hybridMultilevel"/>
    <w:tmpl w:val="2182E57A"/>
    <w:lvl w:ilvl="0" w:tplc="040C0001">
      <w:start w:val="1"/>
      <w:numFmt w:val="bullet"/>
      <w:lvlText w:val=""/>
      <w:lvlJc w:val="left"/>
      <w:pPr>
        <w:ind w:left="766" w:hanging="360"/>
      </w:pPr>
      <w:rPr>
        <w:rFonts w:ascii="Symbol" w:hAnsi="Symbol" w:hint="default"/>
      </w:rPr>
    </w:lvl>
    <w:lvl w:ilvl="1" w:tplc="040C0003">
      <w:start w:val="1"/>
      <w:numFmt w:val="bullet"/>
      <w:lvlText w:val="o"/>
      <w:lvlJc w:val="left"/>
      <w:pPr>
        <w:ind w:left="1486" w:hanging="360"/>
      </w:pPr>
      <w:rPr>
        <w:rFonts w:ascii="Courier New" w:hAnsi="Courier New" w:cs="Courier New" w:hint="default"/>
      </w:rPr>
    </w:lvl>
    <w:lvl w:ilvl="2" w:tplc="040C0005">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5">
    <w:nsid w:val="25E90E65"/>
    <w:multiLevelType w:val="hybridMultilevel"/>
    <w:tmpl w:val="E92AB7D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6">
    <w:nsid w:val="2CB60A93"/>
    <w:multiLevelType w:val="hybridMultilevel"/>
    <w:tmpl w:val="C886462E"/>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7">
    <w:nsid w:val="2D8D2C8A"/>
    <w:multiLevelType w:val="hybridMultilevel"/>
    <w:tmpl w:val="ECAC2B86"/>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8">
    <w:nsid w:val="2E4710FD"/>
    <w:multiLevelType w:val="hybridMultilevel"/>
    <w:tmpl w:val="883AA0B8"/>
    <w:lvl w:ilvl="0" w:tplc="040C0001">
      <w:start w:val="1"/>
      <w:numFmt w:val="bullet"/>
      <w:lvlText w:val=""/>
      <w:lvlJc w:val="left"/>
      <w:pPr>
        <w:ind w:left="766" w:hanging="360"/>
      </w:pPr>
      <w:rPr>
        <w:rFonts w:ascii="Symbol" w:hAnsi="Symbol" w:hint="default"/>
      </w:rPr>
    </w:lvl>
    <w:lvl w:ilvl="1" w:tplc="040C0003">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9">
    <w:nsid w:val="339D43B1"/>
    <w:multiLevelType w:val="hybridMultilevel"/>
    <w:tmpl w:val="4E462F3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0">
    <w:nsid w:val="35814D2F"/>
    <w:multiLevelType w:val="multilevel"/>
    <w:tmpl w:val="6092231A"/>
    <w:lvl w:ilvl="0">
      <w:start w:val="1"/>
      <w:numFmt w:val="decimal"/>
      <w:lvlText w:val="Section %100."/>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lowerLetter"/>
      <w:pStyle w:val="Titre5"/>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B252D8D"/>
    <w:multiLevelType w:val="hybridMultilevel"/>
    <w:tmpl w:val="7BFE4B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DBD2C55"/>
    <w:multiLevelType w:val="hybridMultilevel"/>
    <w:tmpl w:val="C35050AE"/>
    <w:lvl w:ilvl="0" w:tplc="53AC6BFA">
      <w:start w:val="7"/>
      <w:numFmt w:val="bullet"/>
      <w:lvlText w:val="-"/>
      <w:lvlJc w:val="left"/>
      <w:pPr>
        <w:tabs>
          <w:tab w:val="num" w:pos="720"/>
        </w:tabs>
        <w:ind w:left="720" w:hanging="360"/>
      </w:pPr>
      <w:rPr>
        <w:rFonts w:ascii="Helvetica" w:eastAsia="Times New Roman" w:hAnsi="Helvetica"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48193B0A"/>
    <w:multiLevelType w:val="hybridMultilevel"/>
    <w:tmpl w:val="5442D5F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4">
    <w:nsid w:val="4D562DB8"/>
    <w:multiLevelType w:val="hybridMultilevel"/>
    <w:tmpl w:val="2B06EE18"/>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5">
    <w:nsid w:val="4D782FE8"/>
    <w:multiLevelType w:val="multilevel"/>
    <w:tmpl w:val="1BBA1464"/>
    <w:lvl w:ilvl="0">
      <w:start w:val="1"/>
      <w:numFmt w:val="decimal"/>
      <w:pStyle w:val="Titre1"/>
      <w:lvlText w:val="Section %10."/>
      <w:lvlJc w:val="left"/>
      <w:pPr>
        <w:ind w:left="360" w:hanging="360"/>
      </w:pPr>
      <w:rPr>
        <w:rFonts w:hint="default"/>
      </w:rPr>
    </w:lvl>
    <w:lvl w:ilvl="1">
      <w:start w:val="1"/>
      <w:numFmt w:val="decimal"/>
      <w:pStyle w:val="Titre2"/>
      <w:lvlText w:val="%2."/>
      <w:lvlJc w:val="left"/>
      <w:pPr>
        <w:ind w:left="792" w:hanging="432"/>
      </w:pPr>
      <w:rPr>
        <w:rFonts w:hint="default"/>
      </w:rPr>
    </w:lvl>
    <w:lvl w:ilvl="2">
      <w:start w:val="1"/>
      <w:numFmt w:val="decimal"/>
      <w:pStyle w:val="Titre3"/>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F826C9D"/>
    <w:multiLevelType w:val="hybridMultilevel"/>
    <w:tmpl w:val="3EC0CA7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7">
    <w:nsid w:val="5298494E"/>
    <w:multiLevelType w:val="hybridMultilevel"/>
    <w:tmpl w:val="F8C2B1EC"/>
    <w:lvl w:ilvl="0" w:tplc="040C0005">
      <w:start w:val="1"/>
      <w:numFmt w:val="bullet"/>
      <w:lvlText w:val=""/>
      <w:lvlJc w:val="left"/>
      <w:pPr>
        <w:ind w:left="766" w:hanging="360"/>
      </w:pPr>
      <w:rPr>
        <w:rFonts w:ascii="Wingdings" w:hAnsi="Wingdings"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8">
    <w:nsid w:val="5BFA61D5"/>
    <w:multiLevelType w:val="hybridMultilevel"/>
    <w:tmpl w:val="FFFAD32E"/>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9">
    <w:nsid w:val="5E936AB8"/>
    <w:multiLevelType w:val="hybridMultilevel"/>
    <w:tmpl w:val="B1EAF0E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0">
    <w:nsid w:val="61EC6109"/>
    <w:multiLevelType w:val="hybridMultilevel"/>
    <w:tmpl w:val="C2D62410"/>
    <w:lvl w:ilvl="0" w:tplc="040C0001">
      <w:start w:val="1"/>
      <w:numFmt w:val="bullet"/>
      <w:lvlText w:val=""/>
      <w:lvlJc w:val="left"/>
      <w:pPr>
        <w:ind w:left="766" w:hanging="360"/>
      </w:pPr>
      <w:rPr>
        <w:rFonts w:ascii="Symbol" w:hAnsi="Symbol" w:hint="default"/>
      </w:rPr>
    </w:lvl>
    <w:lvl w:ilvl="1" w:tplc="040C0003">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1">
    <w:nsid w:val="64696832"/>
    <w:multiLevelType w:val="hybridMultilevel"/>
    <w:tmpl w:val="15AA97B0"/>
    <w:lvl w:ilvl="0" w:tplc="CBAAB0FA">
      <w:start w:val="1"/>
      <w:numFmt w:val="lowerLetter"/>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2">
    <w:nsid w:val="654E1B41"/>
    <w:multiLevelType w:val="hybridMultilevel"/>
    <w:tmpl w:val="D618EC68"/>
    <w:lvl w:ilvl="0" w:tplc="040C0005">
      <w:start w:val="1"/>
      <w:numFmt w:val="bullet"/>
      <w:lvlText w:val=""/>
      <w:lvlJc w:val="left"/>
      <w:pPr>
        <w:ind w:left="766" w:hanging="360"/>
      </w:pPr>
      <w:rPr>
        <w:rFonts w:ascii="Wingdings" w:hAnsi="Wingdings"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3">
    <w:nsid w:val="65751406"/>
    <w:multiLevelType w:val="hybridMultilevel"/>
    <w:tmpl w:val="B690408C"/>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4">
    <w:nsid w:val="69AE05A2"/>
    <w:multiLevelType w:val="hybridMultilevel"/>
    <w:tmpl w:val="86F866F6"/>
    <w:lvl w:ilvl="0" w:tplc="040C0001">
      <w:start w:val="1"/>
      <w:numFmt w:val="bullet"/>
      <w:lvlText w:val=""/>
      <w:lvlJc w:val="left"/>
      <w:pPr>
        <w:ind w:left="766" w:hanging="360"/>
      </w:pPr>
      <w:rPr>
        <w:rFonts w:ascii="Symbol" w:hAnsi="Symbol" w:hint="default"/>
      </w:rPr>
    </w:lvl>
    <w:lvl w:ilvl="1" w:tplc="040C0003">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5">
    <w:nsid w:val="6C053E1A"/>
    <w:multiLevelType w:val="hybridMultilevel"/>
    <w:tmpl w:val="4412C13E"/>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6">
    <w:nsid w:val="6F6F3924"/>
    <w:multiLevelType w:val="hybridMultilevel"/>
    <w:tmpl w:val="B7F0FED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7">
    <w:nsid w:val="70233E7A"/>
    <w:multiLevelType w:val="hybridMultilevel"/>
    <w:tmpl w:val="0478E22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8">
    <w:nsid w:val="748C6ED4"/>
    <w:multiLevelType w:val="hybridMultilevel"/>
    <w:tmpl w:val="13D41980"/>
    <w:lvl w:ilvl="0" w:tplc="040C0005">
      <w:start w:val="1"/>
      <w:numFmt w:val="bullet"/>
      <w:lvlText w:val=""/>
      <w:lvlJc w:val="left"/>
      <w:pPr>
        <w:ind w:left="766" w:hanging="360"/>
      </w:pPr>
      <w:rPr>
        <w:rFonts w:ascii="Wingdings" w:hAnsi="Wingdings"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9">
    <w:nsid w:val="74901AB3"/>
    <w:multiLevelType w:val="hybridMultilevel"/>
    <w:tmpl w:val="E4C6359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40">
    <w:nsid w:val="794C1E0E"/>
    <w:multiLevelType w:val="hybridMultilevel"/>
    <w:tmpl w:val="A04E7F3A"/>
    <w:lvl w:ilvl="0" w:tplc="2A0C756C">
      <w:numFmt w:val="bullet"/>
      <w:lvlText w:val="-"/>
      <w:lvlJc w:val="left"/>
      <w:pPr>
        <w:tabs>
          <w:tab w:val="num" w:pos="720"/>
        </w:tabs>
        <w:ind w:left="720" w:hanging="360"/>
      </w:pPr>
      <w:rPr>
        <w:rFonts w:ascii="Arial" w:eastAsia="Times New Roman" w:hAnsi="Arial" w:cs="Arial"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1">
    <w:nsid w:val="7C326B69"/>
    <w:multiLevelType w:val="hybridMultilevel"/>
    <w:tmpl w:val="BCBE54D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42">
    <w:nsid w:val="7D1A20AD"/>
    <w:multiLevelType w:val="multilevel"/>
    <w:tmpl w:val="8C2C01B6"/>
    <w:lvl w:ilvl="0">
      <w:start w:val="10"/>
      <w:numFmt w:val="decimal"/>
      <w:pStyle w:val="CACTitre1"/>
      <w:lvlText w:val="Section %10."/>
      <w:lvlJc w:val="left"/>
      <w:pPr>
        <w:ind w:left="360" w:hanging="360"/>
      </w:pPr>
      <w:rPr>
        <w:rFonts w:hint="default"/>
      </w:rPr>
    </w:lvl>
    <w:lvl w:ilvl="1">
      <w:start w:val="1"/>
      <w:numFmt w:val="decimal"/>
      <w:pStyle w:val="CACTitre2"/>
      <w:lvlText w:val="%2."/>
      <w:lvlJc w:val="left"/>
      <w:pPr>
        <w:ind w:left="792" w:hanging="432"/>
      </w:pPr>
      <w:rPr>
        <w:rFonts w:hint="default"/>
      </w:rPr>
    </w:lvl>
    <w:lvl w:ilvl="2">
      <w:start w:val="1"/>
      <w:numFmt w:val="decimal"/>
      <w:pStyle w:val="CACTitre3"/>
      <w:lvlText w:val="%2.%3."/>
      <w:lvlJc w:val="left"/>
      <w:pPr>
        <w:ind w:left="1224" w:hanging="504"/>
      </w:pPr>
      <w:rPr>
        <w:rFonts w:hint="default"/>
      </w:rPr>
    </w:lvl>
    <w:lvl w:ilvl="3">
      <w:start w:val="1"/>
      <w:numFmt w:val="decimal"/>
      <w:pStyle w:val="CACTitre4"/>
      <w:lvlText w:val="%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2"/>
  </w:num>
  <w:num w:numId="2">
    <w:abstractNumId w:val="20"/>
  </w:num>
  <w:num w:numId="3">
    <w:abstractNumId w:val="25"/>
  </w:num>
  <w:num w:numId="4">
    <w:abstractNumId w:val="42"/>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2"/>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0"/>
  </w:num>
  <w:num w:numId="7">
    <w:abstractNumId w:val="15"/>
  </w:num>
  <w:num w:numId="8">
    <w:abstractNumId w:val="0"/>
  </w:num>
  <w:num w:numId="9">
    <w:abstractNumId w:val="28"/>
  </w:num>
  <w:num w:numId="10">
    <w:abstractNumId w:val="23"/>
  </w:num>
  <w:num w:numId="11">
    <w:abstractNumId w:val="17"/>
  </w:num>
  <w:num w:numId="12">
    <w:abstractNumId w:val="16"/>
  </w:num>
  <w:num w:numId="13">
    <w:abstractNumId w:val="36"/>
  </w:num>
  <w:num w:numId="14">
    <w:abstractNumId w:val="29"/>
  </w:num>
  <w:num w:numId="15">
    <w:abstractNumId w:val="24"/>
  </w:num>
  <w:num w:numId="16">
    <w:abstractNumId w:val="2"/>
  </w:num>
  <w:num w:numId="17">
    <w:abstractNumId w:val="19"/>
  </w:num>
  <w:num w:numId="18">
    <w:abstractNumId w:val="14"/>
  </w:num>
  <w:num w:numId="19">
    <w:abstractNumId w:val="30"/>
  </w:num>
  <w:num w:numId="20">
    <w:abstractNumId w:val="12"/>
  </w:num>
  <w:num w:numId="21">
    <w:abstractNumId w:val="4"/>
  </w:num>
  <w:num w:numId="22">
    <w:abstractNumId w:val="41"/>
  </w:num>
  <w:num w:numId="23">
    <w:abstractNumId w:val="22"/>
  </w:num>
  <w:num w:numId="24">
    <w:abstractNumId w:val="35"/>
  </w:num>
  <w:num w:numId="25">
    <w:abstractNumId w:val="18"/>
  </w:num>
  <w:num w:numId="26">
    <w:abstractNumId w:val="21"/>
  </w:num>
  <w:num w:numId="27">
    <w:abstractNumId w:val="3"/>
  </w:num>
  <w:num w:numId="28">
    <w:abstractNumId w:val="8"/>
  </w:num>
  <w:num w:numId="29">
    <w:abstractNumId w:val="5"/>
  </w:num>
  <w:num w:numId="30">
    <w:abstractNumId w:val="39"/>
  </w:num>
  <w:num w:numId="31">
    <w:abstractNumId w:val="34"/>
  </w:num>
  <w:num w:numId="32">
    <w:abstractNumId w:val="42"/>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37"/>
  </w:num>
  <w:num w:numId="35">
    <w:abstractNumId w:val="9"/>
  </w:num>
  <w:num w:numId="36">
    <w:abstractNumId w:val="27"/>
  </w:num>
  <w:num w:numId="37">
    <w:abstractNumId w:val="11"/>
  </w:num>
  <w:num w:numId="38">
    <w:abstractNumId w:val="38"/>
  </w:num>
  <w:num w:numId="39">
    <w:abstractNumId w:val="32"/>
  </w:num>
  <w:num w:numId="40">
    <w:abstractNumId w:val="10"/>
  </w:num>
  <w:num w:numId="41">
    <w:abstractNumId w:val="7"/>
  </w:num>
  <w:num w:numId="42">
    <w:abstractNumId w:val="31"/>
  </w:num>
  <w:num w:numId="43">
    <w:abstractNumId w:val="6"/>
  </w:num>
  <w:num w:numId="44">
    <w:abstractNumId w:val="42"/>
    <w:lvlOverride w:ilvl="0">
      <w:startOverride w:val="5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num>
  <w:num w:numId="46">
    <w:abstractNumId w:val="13"/>
  </w:num>
  <w:num w:numId="47">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C6D"/>
    <w:rsid w:val="0000725B"/>
    <w:rsid w:val="00010881"/>
    <w:rsid w:val="00015278"/>
    <w:rsid w:val="00022AB2"/>
    <w:rsid w:val="0002760D"/>
    <w:rsid w:val="00032F60"/>
    <w:rsid w:val="00034926"/>
    <w:rsid w:val="000A208C"/>
    <w:rsid w:val="000D236B"/>
    <w:rsid w:val="000D6C13"/>
    <w:rsid w:val="00116522"/>
    <w:rsid w:val="001231AF"/>
    <w:rsid w:val="0012765C"/>
    <w:rsid w:val="00165177"/>
    <w:rsid w:val="001A2723"/>
    <w:rsid w:val="001B0BCE"/>
    <w:rsid w:val="00223A30"/>
    <w:rsid w:val="00232D74"/>
    <w:rsid w:val="00235B02"/>
    <w:rsid w:val="0027523B"/>
    <w:rsid w:val="00283853"/>
    <w:rsid w:val="0028777F"/>
    <w:rsid w:val="002A06C9"/>
    <w:rsid w:val="002C3791"/>
    <w:rsid w:val="002C594E"/>
    <w:rsid w:val="002D2CBB"/>
    <w:rsid w:val="002D4C6D"/>
    <w:rsid w:val="002E3B5B"/>
    <w:rsid w:val="002F4958"/>
    <w:rsid w:val="0031724C"/>
    <w:rsid w:val="00370257"/>
    <w:rsid w:val="00374FE8"/>
    <w:rsid w:val="00396A8D"/>
    <w:rsid w:val="003B7949"/>
    <w:rsid w:val="003C0504"/>
    <w:rsid w:val="003E5E9F"/>
    <w:rsid w:val="00400B7A"/>
    <w:rsid w:val="00405446"/>
    <w:rsid w:val="004210AD"/>
    <w:rsid w:val="00453544"/>
    <w:rsid w:val="00464668"/>
    <w:rsid w:val="00470965"/>
    <w:rsid w:val="0048204F"/>
    <w:rsid w:val="0049164E"/>
    <w:rsid w:val="00507E43"/>
    <w:rsid w:val="00510FB1"/>
    <w:rsid w:val="00517980"/>
    <w:rsid w:val="005309CE"/>
    <w:rsid w:val="0058523B"/>
    <w:rsid w:val="00590552"/>
    <w:rsid w:val="005C4DDC"/>
    <w:rsid w:val="005C5414"/>
    <w:rsid w:val="005D1AC7"/>
    <w:rsid w:val="00656DF2"/>
    <w:rsid w:val="00684825"/>
    <w:rsid w:val="006A665B"/>
    <w:rsid w:val="006B0623"/>
    <w:rsid w:val="00706B95"/>
    <w:rsid w:val="007430C0"/>
    <w:rsid w:val="00747FC1"/>
    <w:rsid w:val="0079078B"/>
    <w:rsid w:val="007B72A5"/>
    <w:rsid w:val="007E0487"/>
    <w:rsid w:val="00822370"/>
    <w:rsid w:val="00827DD2"/>
    <w:rsid w:val="0086530A"/>
    <w:rsid w:val="008B1B1A"/>
    <w:rsid w:val="008C3C87"/>
    <w:rsid w:val="00917252"/>
    <w:rsid w:val="00952337"/>
    <w:rsid w:val="00985251"/>
    <w:rsid w:val="009B0114"/>
    <w:rsid w:val="009F2684"/>
    <w:rsid w:val="00A12123"/>
    <w:rsid w:val="00A157BB"/>
    <w:rsid w:val="00A521C4"/>
    <w:rsid w:val="00A94979"/>
    <w:rsid w:val="00A97E14"/>
    <w:rsid w:val="00AA5D89"/>
    <w:rsid w:val="00AB6EEF"/>
    <w:rsid w:val="00AE6E57"/>
    <w:rsid w:val="00AE782A"/>
    <w:rsid w:val="00AF3C27"/>
    <w:rsid w:val="00B66734"/>
    <w:rsid w:val="00BA15AB"/>
    <w:rsid w:val="00BC0BFC"/>
    <w:rsid w:val="00BE37AB"/>
    <w:rsid w:val="00BF15E4"/>
    <w:rsid w:val="00BF1BD6"/>
    <w:rsid w:val="00C17ACF"/>
    <w:rsid w:val="00C404FC"/>
    <w:rsid w:val="00C41132"/>
    <w:rsid w:val="00C436FD"/>
    <w:rsid w:val="00C802FA"/>
    <w:rsid w:val="00CA35AB"/>
    <w:rsid w:val="00CA45DC"/>
    <w:rsid w:val="00CD4EF4"/>
    <w:rsid w:val="00CF0659"/>
    <w:rsid w:val="00D4068A"/>
    <w:rsid w:val="00D47C40"/>
    <w:rsid w:val="00D66390"/>
    <w:rsid w:val="00DA2B39"/>
    <w:rsid w:val="00E00632"/>
    <w:rsid w:val="00E50D53"/>
    <w:rsid w:val="00E50D9E"/>
    <w:rsid w:val="00E64FC3"/>
    <w:rsid w:val="00E74A62"/>
    <w:rsid w:val="00EB04D7"/>
    <w:rsid w:val="00EB2DBB"/>
    <w:rsid w:val="00EB3AEC"/>
    <w:rsid w:val="00EC2488"/>
    <w:rsid w:val="00EE5E04"/>
    <w:rsid w:val="00EF2621"/>
    <w:rsid w:val="00F00733"/>
    <w:rsid w:val="00F04F2D"/>
    <w:rsid w:val="00F05CB7"/>
    <w:rsid w:val="00F072B9"/>
    <w:rsid w:val="00F178CD"/>
    <w:rsid w:val="00F360EB"/>
    <w:rsid w:val="00F63429"/>
    <w:rsid w:val="00F6595F"/>
    <w:rsid w:val="00F726BB"/>
    <w:rsid w:val="00F91BC0"/>
    <w:rsid w:val="00F93ACF"/>
    <w:rsid w:val="00FA0079"/>
    <w:rsid w:val="00FA0A35"/>
    <w:rsid w:val="00FD30CD"/>
    <w:rsid w:val="00FD3E5B"/>
    <w:rsid w:val="00FF3328"/>
    <w:rsid w:val="00FF4BA9"/>
    <w:rsid w:val="00FF79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martTagType w:namespaceuri="urn:schemas-microsoft-com:office:smarttags" w:name="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5DC"/>
    <w:pPr>
      <w:jc w:val="both"/>
    </w:pPr>
    <w:rPr>
      <w:rFonts w:ascii="Calibri" w:hAnsi="Calibri"/>
    </w:rPr>
  </w:style>
  <w:style w:type="paragraph" w:styleId="Titre1">
    <w:name w:val="heading 1"/>
    <w:basedOn w:val="Normal"/>
    <w:next w:val="Normal"/>
    <w:link w:val="Titre1Car"/>
    <w:qFormat/>
    <w:rsid w:val="00CA45DC"/>
    <w:pPr>
      <w:keepNext/>
      <w:keepLines/>
      <w:numPr>
        <w:numId w:val="3"/>
      </w:numPr>
      <w:tabs>
        <w:tab w:val="left" w:pos="1843"/>
      </w:tabs>
      <w:spacing w:before="480" w:after="480"/>
      <w:ind w:right="425"/>
      <w:jc w:val="left"/>
      <w:outlineLvl w:val="0"/>
    </w:pPr>
    <w:rPr>
      <w:rFonts w:eastAsiaTheme="majorEastAsia" w:cstheme="majorBidi"/>
      <w:b/>
      <w:bCs/>
      <w:caps/>
      <w:color w:val="B06C96" w:themeColor="accent2"/>
      <w:sz w:val="32"/>
      <w:szCs w:val="28"/>
    </w:rPr>
  </w:style>
  <w:style w:type="paragraph" w:styleId="Titre2">
    <w:name w:val="heading 2"/>
    <w:basedOn w:val="Normal"/>
    <w:next w:val="Normal"/>
    <w:link w:val="Titre2Car"/>
    <w:autoRedefine/>
    <w:unhideWhenUsed/>
    <w:qFormat/>
    <w:rsid w:val="00CA45DC"/>
    <w:pPr>
      <w:keepNext/>
      <w:keepLines/>
      <w:numPr>
        <w:ilvl w:val="1"/>
        <w:numId w:val="3"/>
      </w:numPr>
      <w:tabs>
        <w:tab w:val="left" w:pos="993"/>
      </w:tabs>
      <w:spacing w:before="240" w:after="240"/>
      <w:jc w:val="left"/>
      <w:outlineLvl w:val="1"/>
    </w:pPr>
    <w:rPr>
      <w:rFonts w:eastAsiaTheme="majorEastAsia" w:cs="Calibri"/>
      <w:b/>
      <w:bCs/>
      <w:color w:val="FF0000"/>
      <w:sz w:val="26"/>
      <w:szCs w:val="26"/>
    </w:rPr>
  </w:style>
  <w:style w:type="paragraph" w:styleId="Titre3">
    <w:name w:val="heading 3"/>
    <w:basedOn w:val="Normal"/>
    <w:next w:val="Normal"/>
    <w:link w:val="Titre3Car"/>
    <w:autoRedefine/>
    <w:unhideWhenUsed/>
    <w:qFormat/>
    <w:rsid w:val="00CA45DC"/>
    <w:pPr>
      <w:keepNext/>
      <w:keepLines/>
      <w:numPr>
        <w:ilvl w:val="2"/>
        <w:numId w:val="3"/>
      </w:numPr>
      <w:tabs>
        <w:tab w:val="left" w:pos="1701"/>
      </w:tabs>
      <w:jc w:val="left"/>
      <w:outlineLvl w:val="2"/>
    </w:pPr>
    <w:rPr>
      <w:rFonts w:eastAsiaTheme="majorEastAsia" w:cstheme="majorBidi"/>
      <w:b/>
      <w:bCs/>
      <w:caps/>
      <w:color w:val="9D9D9D" w:themeColor="background2" w:themeShade="BF"/>
      <w:sz w:val="24"/>
    </w:rPr>
  </w:style>
  <w:style w:type="paragraph" w:styleId="Titre4">
    <w:name w:val="heading 4"/>
    <w:basedOn w:val="Normal"/>
    <w:next w:val="Normal"/>
    <w:link w:val="Titre4Car"/>
    <w:autoRedefine/>
    <w:semiHidden/>
    <w:unhideWhenUsed/>
    <w:qFormat/>
    <w:rsid w:val="00CA45DC"/>
    <w:pPr>
      <w:keepNext/>
      <w:keepLines/>
      <w:tabs>
        <w:tab w:val="left" w:pos="567"/>
      </w:tabs>
      <w:spacing w:before="120"/>
      <w:outlineLvl w:val="3"/>
    </w:pPr>
    <w:rPr>
      <w:rFonts w:eastAsiaTheme="majorEastAsia" w:cstheme="majorBidi"/>
      <w:b/>
      <w:bCs/>
      <w:iCs/>
      <w:color w:val="B06C96" w:themeColor="accent2"/>
      <w:u w:val="single"/>
    </w:rPr>
  </w:style>
  <w:style w:type="paragraph" w:styleId="Titre5">
    <w:name w:val="heading 5"/>
    <w:basedOn w:val="Normal"/>
    <w:next w:val="Normal"/>
    <w:link w:val="Titre5Car"/>
    <w:autoRedefine/>
    <w:semiHidden/>
    <w:unhideWhenUsed/>
    <w:qFormat/>
    <w:rsid w:val="00CA45DC"/>
    <w:pPr>
      <w:keepNext/>
      <w:keepLines/>
      <w:numPr>
        <w:ilvl w:val="4"/>
        <w:numId w:val="2"/>
      </w:numPr>
      <w:spacing w:before="200"/>
      <w:outlineLvl w:val="4"/>
    </w:pPr>
    <w:rPr>
      <w:rFonts w:eastAsiaTheme="majorEastAsia" w:cstheme="majorBidi"/>
      <w:b/>
      <w:color w:val="8A4A71" w:themeColor="accent2" w:themeShade="BF"/>
      <w:u w:val="single"/>
    </w:rPr>
  </w:style>
  <w:style w:type="paragraph" w:styleId="Titre6">
    <w:name w:val="heading 6"/>
    <w:basedOn w:val="Normal"/>
    <w:next w:val="Normal"/>
    <w:link w:val="Titre6Car"/>
    <w:uiPriority w:val="9"/>
    <w:semiHidden/>
    <w:unhideWhenUsed/>
    <w:qFormat/>
    <w:rsid w:val="00CA45DC"/>
    <w:pPr>
      <w:keepNext/>
      <w:keepLines/>
      <w:spacing w:before="200"/>
      <w:outlineLvl w:val="5"/>
    </w:pPr>
    <w:rPr>
      <w:rFonts w:asciiTheme="majorHAnsi" w:eastAsiaTheme="majorEastAsia" w:hAnsiTheme="majorHAnsi" w:cstheme="majorBidi"/>
      <w:i/>
      <w:iCs/>
      <w:color w:val="301628" w:themeColor="accent1" w:themeShade="7F"/>
    </w:rPr>
  </w:style>
  <w:style w:type="paragraph" w:styleId="Titre7">
    <w:name w:val="heading 7"/>
    <w:basedOn w:val="Normal"/>
    <w:next w:val="Normal"/>
    <w:link w:val="Titre7Car"/>
    <w:qFormat/>
    <w:rsid w:val="00CA45DC"/>
    <w:pPr>
      <w:keepNext/>
      <w:jc w:val="left"/>
      <w:outlineLvl w:val="6"/>
    </w:pPr>
    <w:rPr>
      <w:rFonts w:ascii="Arial" w:eastAsiaTheme="majorEastAsia" w:hAnsi="Arial" w:cs="Arial"/>
      <w:b/>
      <w:szCs w:val="24"/>
    </w:rPr>
  </w:style>
  <w:style w:type="paragraph" w:styleId="Titre8">
    <w:name w:val="heading 8"/>
    <w:basedOn w:val="Normal"/>
    <w:next w:val="Normal"/>
    <w:link w:val="Titre8Car"/>
    <w:qFormat/>
    <w:rsid w:val="00CA45DC"/>
    <w:pPr>
      <w:keepNext/>
      <w:ind w:left="-993"/>
      <w:jc w:val="left"/>
      <w:outlineLvl w:val="7"/>
    </w:pPr>
    <w:rPr>
      <w:rFonts w:ascii="Arial" w:eastAsiaTheme="majorEastAsia" w:hAnsi="Arial" w:cstheme="majorBidi"/>
      <w:b/>
      <w:bCs/>
      <w:szCs w:val="20"/>
    </w:rPr>
  </w:style>
  <w:style w:type="paragraph" w:styleId="Titre9">
    <w:name w:val="heading 9"/>
    <w:basedOn w:val="Normal"/>
    <w:next w:val="Normal"/>
    <w:link w:val="Titre9Car"/>
    <w:qFormat/>
    <w:rsid w:val="00CA45DC"/>
    <w:pPr>
      <w:keepNext/>
      <w:spacing w:before="40" w:after="40"/>
      <w:jc w:val="left"/>
      <w:outlineLvl w:val="8"/>
    </w:pPr>
    <w:rPr>
      <w:rFonts w:ascii="Arial" w:eastAsiaTheme="majorEastAsia" w:hAnsi="Arial" w:cstheme="majorBidi"/>
      <w:b/>
      <w:color w:val="0000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A45DC"/>
    <w:rPr>
      <w:rFonts w:ascii="Calibri" w:eastAsiaTheme="majorEastAsia" w:hAnsi="Calibri" w:cstheme="majorBidi"/>
      <w:b/>
      <w:bCs/>
      <w:caps/>
      <w:color w:val="B06C96" w:themeColor="accent2"/>
      <w:sz w:val="32"/>
      <w:szCs w:val="28"/>
    </w:rPr>
  </w:style>
  <w:style w:type="character" w:customStyle="1" w:styleId="Titre2Car">
    <w:name w:val="Titre 2 Car"/>
    <w:basedOn w:val="Policepardfaut"/>
    <w:link w:val="Titre2"/>
    <w:rsid w:val="00CA45DC"/>
    <w:rPr>
      <w:rFonts w:ascii="Calibri" w:eastAsiaTheme="majorEastAsia" w:hAnsi="Calibri" w:cs="Calibri"/>
      <w:b/>
      <w:bCs/>
      <w:color w:val="FF0000"/>
      <w:sz w:val="26"/>
      <w:szCs w:val="26"/>
    </w:rPr>
  </w:style>
  <w:style w:type="character" w:customStyle="1" w:styleId="Titre3Car">
    <w:name w:val="Titre 3 Car"/>
    <w:basedOn w:val="Policepardfaut"/>
    <w:link w:val="Titre3"/>
    <w:rsid w:val="00CA45DC"/>
    <w:rPr>
      <w:rFonts w:ascii="Calibri" w:eastAsiaTheme="majorEastAsia" w:hAnsi="Calibri" w:cstheme="majorBidi"/>
      <w:b/>
      <w:bCs/>
      <w:caps/>
      <w:color w:val="9D9D9D" w:themeColor="background2" w:themeShade="BF"/>
      <w:sz w:val="24"/>
    </w:rPr>
  </w:style>
  <w:style w:type="character" w:customStyle="1" w:styleId="Titre4Car">
    <w:name w:val="Titre 4 Car"/>
    <w:basedOn w:val="Policepardfaut"/>
    <w:link w:val="Titre4"/>
    <w:semiHidden/>
    <w:rsid w:val="00CA45DC"/>
    <w:rPr>
      <w:rFonts w:ascii="Calibri" w:eastAsiaTheme="majorEastAsia" w:hAnsi="Calibri" w:cstheme="majorBidi"/>
      <w:b/>
      <w:bCs/>
      <w:iCs/>
      <w:color w:val="B06C96" w:themeColor="accent2"/>
      <w:u w:val="single"/>
    </w:rPr>
  </w:style>
  <w:style w:type="character" w:customStyle="1" w:styleId="Titre5Car">
    <w:name w:val="Titre 5 Car"/>
    <w:basedOn w:val="Policepardfaut"/>
    <w:link w:val="Titre5"/>
    <w:semiHidden/>
    <w:rsid w:val="00CA45DC"/>
    <w:rPr>
      <w:rFonts w:ascii="Calibri" w:eastAsiaTheme="majorEastAsia" w:hAnsi="Calibri" w:cstheme="majorBidi"/>
      <w:b/>
      <w:color w:val="8A4A71" w:themeColor="accent2" w:themeShade="BF"/>
      <w:u w:val="single"/>
    </w:rPr>
  </w:style>
  <w:style w:type="character" w:customStyle="1" w:styleId="Titre6Car">
    <w:name w:val="Titre 6 Car"/>
    <w:basedOn w:val="Policepardfaut"/>
    <w:link w:val="Titre6"/>
    <w:uiPriority w:val="9"/>
    <w:semiHidden/>
    <w:rsid w:val="00CA45DC"/>
    <w:rPr>
      <w:rFonts w:asciiTheme="majorHAnsi" w:eastAsiaTheme="majorEastAsia" w:hAnsiTheme="majorHAnsi" w:cstheme="majorBidi"/>
      <w:i/>
      <w:iCs/>
      <w:color w:val="301628" w:themeColor="accent1" w:themeShade="7F"/>
    </w:rPr>
  </w:style>
  <w:style w:type="character" w:customStyle="1" w:styleId="Titre7Car">
    <w:name w:val="Titre 7 Car"/>
    <w:basedOn w:val="Policepardfaut"/>
    <w:link w:val="Titre7"/>
    <w:rsid w:val="00CA45DC"/>
    <w:rPr>
      <w:rFonts w:ascii="Arial" w:eastAsiaTheme="majorEastAsia" w:hAnsi="Arial" w:cs="Arial"/>
      <w:b/>
      <w:szCs w:val="24"/>
    </w:rPr>
  </w:style>
  <w:style w:type="character" w:customStyle="1" w:styleId="Titre8Car">
    <w:name w:val="Titre 8 Car"/>
    <w:basedOn w:val="Policepardfaut"/>
    <w:link w:val="Titre8"/>
    <w:rsid w:val="00CA45DC"/>
    <w:rPr>
      <w:rFonts w:ascii="Arial" w:eastAsiaTheme="majorEastAsia" w:hAnsi="Arial" w:cstheme="majorBidi"/>
      <w:b/>
      <w:bCs/>
      <w:szCs w:val="20"/>
    </w:rPr>
  </w:style>
  <w:style w:type="character" w:customStyle="1" w:styleId="Titre9Car">
    <w:name w:val="Titre 9 Car"/>
    <w:basedOn w:val="Policepardfaut"/>
    <w:link w:val="Titre9"/>
    <w:rsid w:val="00CA45DC"/>
    <w:rPr>
      <w:rFonts w:ascii="Arial" w:eastAsiaTheme="majorEastAsia" w:hAnsi="Arial" w:cstheme="majorBidi"/>
      <w:b/>
      <w:color w:val="0000FF"/>
      <w:sz w:val="20"/>
      <w:szCs w:val="20"/>
    </w:rPr>
  </w:style>
  <w:style w:type="paragraph" w:styleId="Lgende">
    <w:name w:val="caption"/>
    <w:basedOn w:val="Normal"/>
    <w:next w:val="Normal"/>
    <w:uiPriority w:val="35"/>
    <w:semiHidden/>
    <w:unhideWhenUsed/>
    <w:qFormat/>
    <w:rsid w:val="00CA45DC"/>
    <w:pPr>
      <w:spacing w:after="200"/>
    </w:pPr>
    <w:rPr>
      <w:b/>
      <w:bCs/>
      <w:color w:val="612C51" w:themeColor="accent1"/>
      <w:sz w:val="18"/>
      <w:szCs w:val="18"/>
    </w:rPr>
  </w:style>
  <w:style w:type="paragraph" w:styleId="Titre">
    <w:name w:val="Title"/>
    <w:basedOn w:val="Normal"/>
    <w:link w:val="TitreCar"/>
    <w:qFormat/>
    <w:rsid w:val="00CA45DC"/>
    <w:pPr>
      <w:jc w:val="center"/>
    </w:pPr>
    <w:rPr>
      <w:rFonts w:ascii="Times New Roman" w:eastAsiaTheme="majorEastAsia" w:hAnsi="Times New Roman" w:cstheme="majorBidi"/>
      <w:b/>
      <w:caps/>
      <w:sz w:val="32"/>
      <w:szCs w:val="20"/>
    </w:rPr>
  </w:style>
  <w:style w:type="character" w:customStyle="1" w:styleId="TitreCar">
    <w:name w:val="Titre Car"/>
    <w:basedOn w:val="Policepardfaut"/>
    <w:link w:val="Titre"/>
    <w:rsid w:val="00CA45DC"/>
    <w:rPr>
      <w:rFonts w:ascii="Times New Roman" w:eastAsiaTheme="majorEastAsia" w:hAnsi="Times New Roman" w:cstheme="majorBidi"/>
      <w:b/>
      <w:caps/>
      <w:sz w:val="32"/>
      <w:szCs w:val="20"/>
    </w:rPr>
  </w:style>
  <w:style w:type="paragraph" w:styleId="Sous-titre">
    <w:name w:val="Subtitle"/>
    <w:basedOn w:val="Normal"/>
    <w:next w:val="Normal"/>
    <w:link w:val="Sous-titreCar"/>
    <w:uiPriority w:val="11"/>
    <w:qFormat/>
    <w:rsid w:val="00CA45DC"/>
    <w:pPr>
      <w:numPr>
        <w:ilvl w:val="1"/>
      </w:numPr>
    </w:pPr>
    <w:rPr>
      <w:rFonts w:asciiTheme="majorHAnsi" w:eastAsiaTheme="majorEastAsia" w:hAnsiTheme="majorHAnsi" w:cstheme="majorBidi"/>
      <w:i/>
      <w:iCs/>
      <w:color w:val="612C51" w:themeColor="accent1"/>
      <w:spacing w:val="15"/>
      <w:sz w:val="24"/>
      <w:szCs w:val="24"/>
    </w:rPr>
  </w:style>
  <w:style w:type="character" w:customStyle="1" w:styleId="Sous-titreCar">
    <w:name w:val="Sous-titre Car"/>
    <w:basedOn w:val="Policepardfaut"/>
    <w:link w:val="Sous-titre"/>
    <w:uiPriority w:val="11"/>
    <w:rsid w:val="00CA45DC"/>
    <w:rPr>
      <w:rFonts w:asciiTheme="majorHAnsi" w:eastAsiaTheme="majorEastAsia" w:hAnsiTheme="majorHAnsi" w:cstheme="majorBidi"/>
      <w:i/>
      <w:iCs/>
      <w:color w:val="612C51" w:themeColor="accent1"/>
      <w:spacing w:val="15"/>
      <w:sz w:val="24"/>
      <w:szCs w:val="24"/>
    </w:rPr>
  </w:style>
  <w:style w:type="character" w:styleId="lev">
    <w:name w:val="Strong"/>
    <w:uiPriority w:val="22"/>
    <w:qFormat/>
    <w:rsid w:val="00CA45DC"/>
    <w:rPr>
      <w:b/>
      <w:bCs/>
    </w:rPr>
  </w:style>
  <w:style w:type="character" w:styleId="Accentuation">
    <w:name w:val="Emphasis"/>
    <w:qFormat/>
    <w:rsid w:val="00CA45DC"/>
    <w:rPr>
      <w:i/>
      <w:iCs/>
    </w:rPr>
  </w:style>
  <w:style w:type="paragraph" w:styleId="Sansinterligne">
    <w:name w:val="No Spacing"/>
    <w:link w:val="SansinterligneCar"/>
    <w:uiPriority w:val="1"/>
    <w:qFormat/>
    <w:rsid w:val="00CA45DC"/>
    <w:rPr>
      <w:rFonts w:eastAsiaTheme="minorEastAsia"/>
    </w:rPr>
  </w:style>
  <w:style w:type="character" w:customStyle="1" w:styleId="SansinterligneCar">
    <w:name w:val="Sans interligne Car"/>
    <w:basedOn w:val="Policepardfaut"/>
    <w:link w:val="Sansinterligne"/>
    <w:uiPriority w:val="1"/>
    <w:rsid w:val="00CA45DC"/>
    <w:rPr>
      <w:rFonts w:eastAsiaTheme="minorEastAsia"/>
    </w:rPr>
  </w:style>
  <w:style w:type="paragraph" w:styleId="Paragraphedeliste">
    <w:name w:val="List Paragraph"/>
    <w:basedOn w:val="Normal"/>
    <w:link w:val="ParagraphedelisteCar"/>
    <w:uiPriority w:val="1"/>
    <w:qFormat/>
    <w:rsid w:val="00CA45DC"/>
    <w:pPr>
      <w:ind w:left="720"/>
      <w:contextualSpacing/>
    </w:pPr>
  </w:style>
  <w:style w:type="character" w:customStyle="1" w:styleId="ParagraphedelisteCar">
    <w:name w:val="Paragraphe de liste Car"/>
    <w:basedOn w:val="Policepardfaut"/>
    <w:link w:val="Paragraphedeliste"/>
    <w:uiPriority w:val="34"/>
    <w:rsid w:val="00CA45DC"/>
    <w:rPr>
      <w:rFonts w:ascii="Calibri" w:hAnsi="Calibri"/>
    </w:rPr>
  </w:style>
  <w:style w:type="paragraph" w:styleId="Citation">
    <w:name w:val="Quote"/>
    <w:basedOn w:val="Normal"/>
    <w:next w:val="Normal"/>
    <w:link w:val="CitationCar"/>
    <w:uiPriority w:val="29"/>
    <w:qFormat/>
    <w:rsid w:val="00CA45DC"/>
    <w:rPr>
      <w:i/>
      <w:iCs/>
      <w:color w:val="000000" w:themeColor="text1"/>
    </w:rPr>
  </w:style>
  <w:style w:type="character" w:customStyle="1" w:styleId="CitationCar">
    <w:name w:val="Citation Car"/>
    <w:basedOn w:val="Policepardfaut"/>
    <w:link w:val="Citation"/>
    <w:uiPriority w:val="29"/>
    <w:rsid w:val="00CA45DC"/>
    <w:rPr>
      <w:rFonts w:ascii="Calibri" w:hAnsi="Calibri"/>
      <w:i/>
      <w:iCs/>
      <w:color w:val="000000" w:themeColor="text1"/>
    </w:rPr>
  </w:style>
  <w:style w:type="paragraph" w:styleId="Citationintense">
    <w:name w:val="Intense Quote"/>
    <w:basedOn w:val="Normal"/>
    <w:next w:val="Normal"/>
    <w:link w:val="CitationintenseCar"/>
    <w:uiPriority w:val="30"/>
    <w:qFormat/>
    <w:rsid w:val="00CA45DC"/>
    <w:pPr>
      <w:pBdr>
        <w:bottom w:val="single" w:sz="4" w:space="4" w:color="612C51" w:themeColor="accent1"/>
      </w:pBdr>
      <w:spacing w:before="200" w:after="280"/>
      <w:ind w:left="936" w:right="936"/>
    </w:pPr>
    <w:rPr>
      <w:b/>
      <w:bCs/>
      <w:i/>
      <w:iCs/>
      <w:color w:val="612C51" w:themeColor="accent1"/>
    </w:rPr>
  </w:style>
  <w:style w:type="character" w:customStyle="1" w:styleId="CitationintenseCar">
    <w:name w:val="Citation intense Car"/>
    <w:basedOn w:val="Policepardfaut"/>
    <w:link w:val="Citationintense"/>
    <w:uiPriority w:val="30"/>
    <w:rsid w:val="00CA45DC"/>
    <w:rPr>
      <w:rFonts w:ascii="Calibri" w:hAnsi="Calibri"/>
      <w:b/>
      <w:bCs/>
      <w:i/>
      <w:iCs/>
      <w:color w:val="612C51" w:themeColor="accent1"/>
    </w:rPr>
  </w:style>
  <w:style w:type="character" w:styleId="Emphaseple">
    <w:name w:val="Subtle Emphasis"/>
    <w:uiPriority w:val="19"/>
    <w:qFormat/>
    <w:rsid w:val="00CA45DC"/>
    <w:rPr>
      <w:i/>
      <w:iCs/>
      <w:color w:val="808080" w:themeColor="text1" w:themeTint="7F"/>
    </w:rPr>
  </w:style>
  <w:style w:type="character" w:styleId="Emphaseintense">
    <w:name w:val="Intense Emphasis"/>
    <w:uiPriority w:val="21"/>
    <w:qFormat/>
    <w:rsid w:val="00CA45DC"/>
    <w:rPr>
      <w:b/>
      <w:bCs/>
      <w:i/>
      <w:iCs/>
      <w:color w:val="612C51" w:themeColor="accent1"/>
    </w:rPr>
  </w:style>
  <w:style w:type="character" w:styleId="Rfrenceple">
    <w:name w:val="Subtle Reference"/>
    <w:uiPriority w:val="31"/>
    <w:qFormat/>
    <w:rsid w:val="00CA45DC"/>
    <w:rPr>
      <w:smallCaps/>
      <w:color w:val="B06C96" w:themeColor="accent2"/>
      <w:u w:val="single"/>
    </w:rPr>
  </w:style>
  <w:style w:type="character" w:styleId="Rfrenceintense">
    <w:name w:val="Intense Reference"/>
    <w:uiPriority w:val="32"/>
    <w:qFormat/>
    <w:rsid w:val="00CA45DC"/>
    <w:rPr>
      <w:b/>
      <w:bCs/>
      <w:smallCaps/>
      <w:color w:val="B06C96" w:themeColor="accent2"/>
      <w:spacing w:val="5"/>
      <w:u w:val="single"/>
    </w:rPr>
  </w:style>
  <w:style w:type="character" w:styleId="Titredulivre">
    <w:name w:val="Book Title"/>
    <w:uiPriority w:val="33"/>
    <w:qFormat/>
    <w:rsid w:val="00CA45DC"/>
    <w:rPr>
      <w:b/>
      <w:bCs/>
      <w:smallCaps/>
      <w:spacing w:val="5"/>
    </w:rPr>
  </w:style>
  <w:style w:type="paragraph" w:styleId="En-ttedetabledesmatires">
    <w:name w:val="TOC Heading"/>
    <w:basedOn w:val="Titre1"/>
    <w:next w:val="Normal"/>
    <w:uiPriority w:val="39"/>
    <w:semiHidden/>
    <w:unhideWhenUsed/>
    <w:qFormat/>
    <w:rsid w:val="00CA45DC"/>
    <w:pPr>
      <w:numPr>
        <w:numId w:val="0"/>
      </w:numPr>
      <w:spacing w:after="0" w:line="276" w:lineRule="auto"/>
      <w:outlineLvl w:val="9"/>
    </w:pPr>
    <w:rPr>
      <w:rFonts w:asciiTheme="majorHAnsi" w:hAnsiTheme="majorHAnsi"/>
      <w:caps w:val="0"/>
      <w:color w:val="48213C" w:themeColor="accent1" w:themeShade="BF"/>
      <w:sz w:val="28"/>
    </w:rPr>
  </w:style>
  <w:style w:type="paragraph" w:customStyle="1" w:styleId="CACTitre10">
    <w:name w:val="CAC Titre 1"/>
    <w:basedOn w:val="Titre1"/>
    <w:link w:val="CACTitre1Car"/>
    <w:qFormat/>
    <w:rsid w:val="00CA45DC"/>
    <w:pPr>
      <w:numPr>
        <w:numId w:val="0"/>
      </w:numPr>
      <w:tabs>
        <w:tab w:val="clear" w:pos="1843"/>
        <w:tab w:val="left" w:pos="1985"/>
      </w:tabs>
      <w:ind w:left="1985" w:hanging="1985"/>
    </w:pPr>
  </w:style>
  <w:style w:type="character" w:customStyle="1" w:styleId="CACTitre1Car">
    <w:name w:val="CAC Titre 1 Car"/>
    <w:basedOn w:val="Titre1Car"/>
    <w:link w:val="CACTitre10"/>
    <w:rsid w:val="00CA45DC"/>
    <w:rPr>
      <w:rFonts w:ascii="Calibri" w:eastAsiaTheme="majorEastAsia" w:hAnsi="Calibri" w:cstheme="majorBidi"/>
      <w:b/>
      <w:bCs/>
      <w:caps/>
      <w:color w:val="B06C96" w:themeColor="accent2"/>
      <w:sz w:val="32"/>
      <w:szCs w:val="28"/>
    </w:rPr>
  </w:style>
  <w:style w:type="paragraph" w:customStyle="1" w:styleId="CACTitre1">
    <w:name w:val="CAC.Titre 1"/>
    <w:basedOn w:val="Paragraphedeliste"/>
    <w:link w:val="CACTitre1Car0"/>
    <w:autoRedefine/>
    <w:qFormat/>
    <w:rsid w:val="00827DD2"/>
    <w:pPr>
      <w:numPr>
        <w:numId w:val="1"/>
      </w:numPr>
    </w:pPr>
    <w:rPr>
      <w:b/>
      <w:caps/>
      <w:color w:val="7030A0"/>
      <w:sz w:val="28"/>
    </w:rPr>
  </w:style>
  <w:style w:type="character" w:customStyle="1" w:styleId="CACTitre1Car0">
    <w:name w:val="CAC.Titre 1 Car"/>
    <w:basedOn w:val="ParagraphedelisteCar"/>
    <w:link w:val="CACTitre1"/>
    <w:rsid w:val="00827DD2"/>
    <w:rPr>
      <w:rFonts w:ascii="Calibri" w:hAnsi="Calibri"/>
      <w:b/>
      <w:caps/>
      <w:color w:val="7030A0"/>
      <w:sz w:val="28"/>
    </w:rPr>
  </w:style>
  <w:style w:type="paragraph" w:customStyle="1" w:styleId="CACTitre2">
    <w:name w:val="CAC.Titre 2"/>
    <w:basedOn w:val="Paragraphedeliste"/>
    <w:link w:val="CACTitre2Car"/>
    <w:autoRedefine/>
    <w:qFormat/>
    <w:rsid w:val="00034926"/>
    <w:pPr>
      <w:numPr>
        <w:ilvl w:val="1"/>
        <w:numId w:val="1"/>
      </w:numPr>
    </w:pPr>
    <w:rPr>
      <w:b/>
      <w:color w:val="372430" w:themeColor="accent4" w:themeShade="BF"/>
      <w:sz w:val="28"/>
    </w:rPr>
  </w:style>
  <w:style w:type="character" w:customStyle="1" w:styleId="CACTitre2Car">
    <w:name w:val="CAC.Titre 2 Car"/>
    <w:basedOn w:val="ParagraphedelisteCar"/>
    <w:link w:val="CACTitre2"/>
    <w:rsid w:val="00034926"/>
    <w:rPr>
      <w:rFonts w:ascii="Calibri" w:hAnsi="Calibri"/>
      <w:b/>
      <w:color w:val="372430" w:themeColor="accent4" w:themeShade="BF"/>
      <w:sz w:val="28"/>
    </w:rPr>
  </w:style>
  <w:style w:type="paragraph" w:customStyle="1" w:styleId="CACTitre3">
    <w:name w:val="CAC.Titre 3"/>
    <w:basedOn w:val="Paragraphedeliste"/>
    <w:link w:val="CACTitre3Car"/>
    <w:autoRedefine/>
    <w:qFormat/>
    <w:rsid w:val="005C5414"/>
    <w:pPr>
      <w:numPr>
        <w:ilvl w:val="2"/>
        <w:numId w:val="1"/>
      </w:numPr>
    </w:pPr>
    <w:rPr>
      <w:b/>
      <w:color w:val="8A4A71" w:themeColor="accent2" w:themeShade="BF"/>
      <w:sz w:val="26"/>
    </w:rPr>
  </w:style>
  <w:style w:type="character" w:customStyle="1" w:styleId="CACTitre3Car">
    <w:name w:val="CAC.Titre 3 Car"/>
    <w:basedOn w:val="ParagraphedelisteCar"/>
    <w:link w:val="CACTitre3"/>
    <w:rsid w:val="005C5414"/>
    <w:rPr>
      <w:rFonts w:ascii="Calibri" w:hAnsi="Calibri"/>
      <w:b/>
      <w:color w:val="8A4A71" w:themeColor="accent2" w:themeShade="BF"/>
      <w:sz w:val="26"/>
    </w:rPr>
  </w:style>
  <w:style w:type="paragraph" w:customStyle="1" w:styleId="Style1">
    <w:name w:val="Style1"/>
    <w:basedOn w:val="Titre1"/>
    <w:qFormat/>
    <w:rsid w:val="00CA45DC"/>
    <w:pPr>
      <w:numPr>
        <w:numId w:val="0"/>
      </w:numPr>
      <w:spacing w:after="240"/>
    </w:pPr>
  </w:style>
  <w:style w:type="paragraph" w:customStyle="1" w:styleId="Style2">
    <w:name w:val="Style2"/>
    <w:basedOn w:val="Titre1"/>
    <w:autoRedefine/>
    <w:qFormat/>
    <w:rsid w:val="00CA45DC"/>
    <w:pPr>
      <w:numPr>
        <w:numId w:val="0"/>
      </w:numPr>
      <w:spacing w:after="240"/>
    </w:pPr>
  </w:style>
  <w:style w:type="paragraph" w:customStyle="1" w:styleId="Style3">
    <w:name w:val="Style3"/>
    <w:basedOn w:val="Titre3"/>
    <w:autoRedefine/>
    <w:qFormat/>
    <w:rsid w:val="00CA45DC"/>
    <w:pPr>
      <w:numPr>
        <w:ilvl w:val="0"/>
        <w:numId w:val="0"/>
      </w:numPr>
      <w:spacing w:before="120" w:after="120"/>
    </w:pPr>
  </w:style>
  <w:style w:type="paragraph" w:customStyle="1" w:styleId="Style4">
    <w:name w:val="Style4"/>
    <w:basedOn w:val="Titre3"/>
    <w:autoRedefine/>
    <w:qFormat/>
    <w:rsid w:val="00CA45DC"/>
    <w:pPr>
      <w:numPr>
        <w:ilvl w:val="0"/>
        <w:numId w:val="0"/>
      </w:numPr>
      <w:spacing w:after="120"/>
    </w:pPr>
  </w:style>
  <w:style w:type="paragraph" w:customStyle="1" w:styleId="Style5">
    <w:name w:val="Style5"/>
    <w:basedOn w:val="Titre3"/>
    <w:autoRedefine/>
    <w:qFormat/>
    <w:rsid w:val="00CA45DC"/>
    <w:pPr>
      <w:numPr>
        <w:ilvl w:val="0"/>
        <w:numId w:val="0"/>
      </w:numPr>
      <w:spacing w:after="120"/>
    </w:pPr>
  </w:style>
  <w:style w:type="paragraph" w:customStyle="1" w:styleId="CACTitre4">
    <w:name w:val="CAC.Titre 4"/>
    <w:basedOn w:val="Paragraphedeliste"/>
    <w:link w:val="CACTitre4Car"/>
    <w:autoRedefine/>
    <w:qFormat/>
    <w:rsid w:val="005C5414"/>
    <w:pPr>
      <w:numPr>
        <w:ilvl w:val="3"/>
        <w:numId w:val="1"/>
      </w:numPr>
    </w:pPr>
    <w:rPr>
      <w:b/>
      <w:color w:val="7030A0"/>
      <w:u w:val="single"/>
    </w:rPr>
  </w:style>
  <w:style w:type="character" w:customStyle="1" w:styleId="CACTitre4Car">
    <w:name w:val="CAC.Titre 4 Car"/>
    <w:basedOn w:val="ParagraphedelisteCar"/>
    <w:link w:val="CACTitre4"/>
    <w:rsid w:val="005C5414"/>
    <w:rPr>
      <w:rFonts w:ascii="Calibri" w:hAnsi="Calibri"/>
      <w:b/>
      <w:color w:val="7030A0"/>
      <w:u w:val="single"/>
    </w:rPr>
  </w:style>
  <w:style w:type="paragraph" w:customStyle="1" w:styleId="CACTitre5">
    <w:name w:val="CAC.Titre 5"/>
    <w:basedOn w:val="Paragraphedeliste"/>
    <w:link w:val="CACTitre5Car"/>
    <w:autoRedefine/>
    <w:qFormat/>
    <w:rsid w:val="005C5414"/>
    <w:pPr>
      <w:ind w:left="1418" w:firstLine="22"/>
    </w:pPr>
    <w:rPr>
      <w:color w:val="7030A0"/>
    </w:rPr>
  </w:style>
  <w:style w:type="character" w:customStyle="1" w:styleId="CACTitre5Car">
    <w:name w:val="CAC.Titre 5 Car"/>
    <w:basedOn w:val="ParagraphedelisteCar"/>
    <w:link w:val="CACTitre5"/>
    <w:rsid w:val="005C5414"/>
    <w:rPr>
      <w:rFonts w:ascii="Calibri" w:hAnsi="Calibri"/>
      <w:color w:val="7030A0"/>
    </w:rPr>
  </w:style>
  <w:style w:type="paragraph" w:customStyle="1" w:styleId="CACCorps">
    <w:name w:val="CAC.Corps"/>
    <w:basedOn w:val="Normal"/>
    <w:link w:val="CACCorpsCar"/>
    <w:qFormat/>
    <w:rsid w:val="00FD3E5B"/>
    <w:pPr>
      <w:ind w:left="46"/>
    </w:pPr>
  </w:style>
  <w:style w:type="character" w:customStyle="1" w:styleId="CACCorpsCar">
    <w:name w:val="CAC.Corps Car"/>
    <w:basedOn w:val="Policepardfaut"/>
    <w:link w:val="CACCorps"/>
    <w:rsid w:val="00FD3E5B"/>
    <w:rPr>
      <w:rFonts w:ascii="Calibri" w:hAnsi="Calibri"/>
    </w:rPr>
  </w:style>
  <w:style w:type="paragraph" w:styleId="Notedebasdepage">
    <w:name w:val="footnote text"/>
    <w:basedOn w:val="Normal"/>
    <w:link w:val="NotedebasdepageCar"/>
    <w:semiHidden/>
    <w:unhideWhenUsed/>
    <w:rsid w:val="00706B95"/>
    <w:rPr>
      <w:sz w:val="20"/>
      <w:szCs w:val="20"/>
    </w:rPr>
  </w:style>
  <w:style w:type="character" w:customStyle="1" w:styleId="NotedebasdepageCar">
    <w:name w:val="Note de bas de page Car"/>
    <w:basedOn w:val="Policepardfaut"/>
    <w:link w:val="Notedebasdepage"/>
    <w:uiPriority w:val="99"/>
    <w:rsid w:val="00706B95"/>
    <w:rPr>
      <w:rFonts w:ascii="Calibri" w:hAnsi="Calibri"/>
      <w:sz w:val="20"/>
      <w:szCs w:val="20"/>
    </w:rPr>
  </w:style>
  <w:style w:type="character" w:styleId="Appelnotedebasdep">
    <w:name w:val="footnote reference"/>
    <w:basedOn w:val="Policepardfaut"/>
    <w:semiHidden/>
    <w:unhideWhenUsed/>
    <w:rsid w:val="00706B95"/>
    <w:rPr>
      <w:vertAlign w:val="superscript"/>
    </w:rPr>
  </w:style>
  <w:style w:type="table" w:customStyle="1" w:styleId="TableNormal">
    <w:name w:val="Table Normal"/>
    <w:uiPriority w:val="2"/>
    <w:semiHidden/>
    <w:unhideWhenUsed/>
    <w:qFormat/>
    <w:rsid w:val="00985251"/>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85251"/>
    <w:pPr>
      <w:widowControl w:val="0"/>
      <w:jc w:val="left"/>
    </w:pPr>
    <w:rPr>
      <w:rFonts w:asciiTheme="minorHAnsi" w:hAnsiTheme="minorHAnsi"/>
      <w:lang w:val="en-US"/>
    </w:rPr>
  </w:style>
  <w:style w:type="paragraph" w:styleId="Textedebulles">
    <w:name w:val="Balloon Text"/>
    <w:basedOn w:val="Normal"/>
    <w:link w:val="TextedebullesCar"/>
    <w:uiPriority w:val="99"/>
    <w:semiHidden/>
    <w:unhideWhenUsed/>
    <w:rsid w:val="001231AF"/>
    <w:rPr>
      <w:rFonts w:ascii="Tahoma" w:hAnsi="Tahoma" w:cs="Tahoma"/>
      <w:sz w:val="16"/>
      <w:szCs w:val="16"/>
    </w:rPr>
  </w:style>
  <w:style w:type="character" w:customStyle="1" w:styleId="TextedebullesCar">
    <w:name w:val="Texte de bulles Car"/>
    <w:basedOn w:val="Policepardfaut"/>
    <w:link w:val="Textedebulles"/>
    <w:uiPriority w:val="99"/>
    <w:semiHidden/>
    <w:rsid w:val="001231AF"/>
    <w:rPr>
      <w:rFonts w:ascii="Tahoma" w:hAnsi="Tahoma" w:cs="Tahoma"/>
      <w:sz w:val="16"/>
      <w:szCs w:val="16"/>
    </w:rPr>
  </w:style>
  <w:style w:type="paragraph" w:styleId="TM1">
    <w:name w:val="toc 1"/>
    <w:basedOn w:val="Normal"/>
    <w:next w:val="Normal"/>
    <w:autoRedefine/>
    <w:uiPriority w:val="39"/>
    <w:unhideWhenUsed/>
    <w:rsid w:val="00827DD2"/>
    <w:pPr>
      <w:tabs>
        <w:tab w:val="left" w:pos="1320"/>
        <w:tab w:val="right" w:leader="dot" w:pos="9062"/>
      </w:tabs>
      <w:spacing w:after="100"/>
    </w:pPr>
    <w:rPr>
      <w:rFonts w:asciiTheme="minorHAnsi" w:hAnsiTheme="minorHAnsi"/>
      <w:b/>
      <w:noProof/>
      <w:color w:val="7030A0"/>
      <w:sz w:val="20"/>
    </w:rPr>
  </w:style>
  <w:style w:type="paragraph" w:styleId="TM2">
    <w:name w:val="toc 2"/>
    <w:basedOn w:val="Normal"/>
    <w:next w:val="Normal"/>
    <w:autoRedefine/>
    <w:uiPriority w:val="39"/>
    <w:unhideWhenUsed/>
    <w:rsid w:val="00EB2DBB"/>
    <w:pPr>
      <w:spacing w:after="100"/>
      <w:ind w:left="220"/>
    </w:pPr>
  </w:style>
  <w:style w:type="paragraph" w:styleId="TM3">
    <w:name w:val="toc 3"/>
    <w:basedOn w:val="Normal"/>
    <w:next w:val="Normal"/>
    <w:autoRedefine/>
    <w:uiPriority w:val="39"/>
    <w:unhideWhenUsed/>
    <w:rsid w:val="00EB2DBB"/>
    <w:pPr>
      <w:spacing w:after="100"/>
      <w:ind w:left="440"/>
    </w:pPr>
  </w:style>
  <w:style w:type="character" w:styleId="Lienhypertexte">
    <w:name w:val="Hyperlink"/>
    <w:basedOn w:val="Policepardfaut"/>
    <w:uiPriority w:val="99"/>
    <w:unhideWhenUsed/>
    <w:rsid w:val="00EB2DBB"/>
    <w:rPr>
      <w:color w:val="17BBFD" w:themeColor="hyperlink"/>
      <w:u w:val="single"/>
    </w:rPr>
  </w:style>
  <w:style w:type="paragraph" w:styleId="TM4">
    <w:name w:val="toc 4"/>
    <w:basedOn w:val="Normal"/>
    <w:next w:val="Normal"/>
    <w:autoRedefine/>
    <w:uiPriority w:val="39"/>
    <w:unhideWhenUsed/>
    <w:rsid w:val="0002760D"/>
    <w:pPr>
      <w:spacing w:after="100" w:line="276" w:lineRule="auto"/>
      <w:ind w:left="660"/>
      <w:jc w:val="left"/>
    </w:pPr>
    <w:rPr>
      <w:rFonts w:asciiTheme="minorHAnsi" w:eastAsiaTheme="minorEastAsia" w:hAnsiTheme="minorHAnsi"/>
      <w:lang w:eastAsia="fr-FR"/>
    </w:rPr>
  </w:style>
  <w:style w:type="paragraph" w:styleId="TM5">
    <w:name w:val="toc 5"/>
    <w:basedOn w:val="Normal"/>
    <w:next w:val="Normal"/>
    <w:autoRedefine/>
    <w:uiPriority w:val="39"/>
    <w:unhideWhenUsed/>
    <w:rsid w:val="0002760D"/>
    <w:pPr>
      <w:spacing w:after="100" w:line="276" w:lineRule="auto"/>
      <w:ind w:left="880"/>
      <w:jc w:val="left"/>
    </w:pPr>
    <w:rPr>
      <w:rFonts w:asciiTheme="minorHAnsi" w:eastAsiaTheme="minorEastAsia" w:hAnsiTheme="minorHAnsi"/>
      <w:lang w:eastAsia="fr-FR"/>
    </w:rPr>
  </w:style>
  <w:style w:type="paragraph" w:styleId="TM6">
    <w:name w:val="toc 6"/>
    <w:basedOn w:val="Normal"/>
    <w:next w:val="Normal"/>
    <w:autoRedefine/>
    <w:uiPriority w:val="39"/>
    <w:unhideWhenUsed/>
    <w:rsid w:val="0002760D"/>
    <w:pPr>
      <w:spacing w:after="100" w:line="276" w:lineRule="auto"/>
      <w:ind w:left="1100"/>
      <w:jc w:val="left"/>
    </w:pPr>
    <w:rPr>
      <w:rFonts w:asciiTheme="minorHAnsi" w:eastAsiaTheme="minorEastAsia" w:hAnsiTheme="minorHAnsi"/>
      <w:lang w:eastAsia="fr-FR"/>
    </w:rPr>
  </w:style>
  <w:style w:type="paragraph" w:styleId="TM7">
    <w:name w:val="toc 7"/>
    <w:basedOn w:val="Normal"/>
    <w:next w:val="Normal"/>
    <w:autoRedefine/>
    <w:uiPriority w:val="39"/>
    <w:unhideWhenUsed/>
    <w:rsid w:val="0002760D"/>
    <w:pPr>
      <w:spacing w:after="100" w:line="276" w:lineRule="auto"/>
      <w:ind w:left="1320"/>
      <w:jc w:val="left"/>
    </w:pPr>
    <w:rPr>
      <w:rFonts w:asciiTheme="minorHAnsi" w:eastAsiaTheme="minorEastAsia" w:hAnsiTheme="minorHAnsi"/>
      <w:lang w:eastAsia="fr-FR"/>
    </w:rPr>
  </w:style>
  <w:style w:type="paragraph" w:styleId="TM8">
    <w:name w:val="toc 8"/>
    <w:basedOn w:val="Normal"/>
    <w:next w:val="Normal"/>
    <w:autoRedefine/>
    <w:uiPriority w:val="39"/>
    <w:unhideWhenUsed/>
    <w:rsid w:val="0002760D"/>
    <w:pPr>
      <w:spacing w:after="100" w:line="276" w:lineRule="auto"/>
      <w:ind w:left="1540"/>
      <w:jc w:val="left"/>
    </w:pPr>
    <w:rPr>
      <w:rFonts w:asciiTheme="minorHAnsi" w:eastAsiaTheme="minorEastAsia" w:hAnsiTheme="minorHAnsi"/>
      <w:lang w:eastAsia="fr-FR"/>
    </w:rPr>
  </w:style>
  <w:style w:type="paragraph" w:styleId="TM9">
    <w:name w:val="toc 9"/>
    <w:basedOn w:val="Normal"/>
    <w:next w:val="Normal"/>
    <w:autoRedefine/>
    <w:uiPriority w:val="39"/>
    <w:unhideWhenUsed/>
    <w:rsid w:val="0002760D"/>
    <w:pPr>
      <w:spacing w:after="100" w:line="276" w:lineRule="auto"/>
      <w:ind w:left="1760"/>
      <w:jc w:val="left"/>
    </w:pPr>
    <w:rPr>
      <w:rFonts w:asciiTheme="minorHAnsi" w:eastAsiaTheme="minorEastAsia" w:hAnsiTheme="minorHAnsi"/>
      <w:lang w:eastAsia="fr-FR"/>
    </w:rPr>
  </w:style>
  <w:style w:type="paragraph" w:styleId="En-tte">
    <w:name w:val="header"/>
    <w:basedOn w:val="Normal"/>
    <w:link w:val="En-tteCar"/>
    <w:unhideWhenUsed/>
    <w:rsid w:val="006B0623"/>
    <w:pPr>
      <w:tabs>
        <w:tab w:val="center" w:pos="4536"/>
        <w:tab w:val="right" w:pos="9072"/>
      </w:tabs>
    </w:pPr>
  </w:style>
  <w:style w:type="character" w:customStyle="1" w:styleId="En-tteCar">
    <w:name w:val="En-tête Car"/>
    <w:basedOn w:val="Policepardfaut"/>
    <w:link w:val="En-tte"/>
    <w:uiPriority w:val="99"/>
    <w:rsid w:val="006B0623"/>
    <w:rPr>
      <w:rFonts w:ascii="Calibri" w:hAnsi="Calibri"/>
    </w:rPr>
  </w:style>
  <w:style w:type="paragraph" w:styleId="Pieddepage">
    <w:name w:val="footer"/>
    <w:basedOn w:val="Normal"/>
    <w:link w:val="PieddepageCar"/>
    <w:unhideWhenUsed/>
    <w:rsid w:val="006B0623"/>
    <w:pPr>
      <w:tabs>
        <w:tab w:val="center" w:pos="4536"/>
        <w:tab w:val="right" w:pos="9072"/>
      </w:tabs>
    </w:pPr>
  </w:style>
  <w:style w:type="character" w:customStyle="1" w:styleId="PieddepageCar">
    <w:name w:val="Pied de page Car"/>
    <w:basedOn w:val="Policepardfaut"/>
    <w:link w:val="Pieddepage"/>
    <w:uiPriority w:val="99"/>
    <w:rsid w:val="006B0623"/>
    <w:rPr>
      <w:rFonts w:ascii="Calibri" w:hAnsi="Calibri"/>
    </w:rPr>
  </w:style>
  <w:style w:type="table" w:styleId="Listeclaire-Accent1">
    <w:name w:val="Light List Accent 1"/>
    <w:basedOn w:val="TableauNormal"/>
    <w:uiPriority w:val="61"/>
    <w:rsid w:val="00CD4EF4"/>
    <w:tblPr>
      <w:tblStyleRowBandSize w:val="1"/>
      <w:tblStyleColBandSize w:val="1"/>
      <w:tblInd w:w="0" w:type="dxa"/>
      <w:tblBorders>
        <w:top w:val="single" w:sz="8" w:space="0" w:color="612C51" w:themeColor="accent1"/>
        <w:left w:val="single" w:sz="8" w:space="0" w:color="612C51" w:themeColor="accent1"/>
        <w:bottom w:val="single" w:sz="8" w:space="0" w:color="612C51" w:themeColor="accent1"/>
        <w:right w:val="single" w:sz="8" w:space="0" w:color="612C51"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612C51" w:themeFill="accent1"/>
      </w:tcPr>
    </w:tblStylePr>
    <w:tblStylePr w:type="lastRow">
      <w:pPr>
        <w:spacing w:before="0" w:after="0" w:line="240" w:lineRule="auto"/>
      </w:pPr>
      <w:rPr>
        <w:b/>
        <w:bCs/>
      </w:rPr>
      <w:tblPr/>
      <w:tcPr>
        <w:tcBorders>
          <w:top w:val="double" w:sz="6" w:space="0" w:color="612C51" w:themeColor="accent1"/>
          <w:left w:val="single" w:sz="8" w:space="0" w:color="612C51" w:themeColor="accent1"/>
          <w:bottom w:val="single" w:sz="8" w:space="0" w:color="612C51" w:themeColor="accent1"/>
          <w:right w:val="single" w:sz="8" w:space="0" w:color="612C51" w:themeColor="accent1"/>
        </w:tcBorders>
      </w:tcPr>
    </w:tblStylePr>
    <w:tblStylePr w:type="firstCol">
      <w:rPr>
        <w:b/>
        <w:bCs/>
      </w:rPr>
    </w:tblStylePr>
    <w:tblStylePr w:type="lastCol">
      <w:rPr>
        <w:b/>
        <w:bCs/>
      </w:rPr>
    </w:tblStylePr>
    <w:tblStylePr w:type="band1Vert">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tblStylePr w:type="band1Horz">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style>
  <w:style w:type="paragraph" w:customStyle="1" w:styleId="Traitplandiff">
    <w:name w:val="Trait plan diff"/>
    <w:basedOn w:val="Normal"/>
    <w:rsid w:val="009B0114"/>
    <w:pPr>
      <w:tabs>
        <w:tab w:val="right" w:leader="underscore" w:pos="9696"/>
      </w:tabs>
      <w:spacing w:before="1000"/>
      <w:jc w:val="left"/>
    </w:pPr>
    <w:rPr>
      <w:rFonts w:ascii="Avant Garde" w:eastAsia="Times New Roman" w:hAnsi="Avant Garde" w:cs="Times New Roman"/>
      <w:sz w:val="20"/>
      <w:szCs w:val="20"/>
      <w:lang w:eastAsia="fr-FR"/>
    </w:rPr>
  </w:style>
  <w:style w:type="paragraph" w:styleId="NormalWeb">
    <w:name w:val="Normal (Web)"/>
    <w:basedOn w:val="Normal"/>
    <w:semiHidden/>
    <w:rsid w:val="009B0114"/>
    <w:pPr>
      <w:spacing w:before="100" w:beforeAutospacing="1" w:after="100" w:afterAutospacing="1"/>
      <w:jc w:val="left"/>
    </w:pPr>
    <w:rPr>
      <w:rFonts w:ascii="Arial Unicode MS" w:eastAsia="Arial Unicode MS" w:hAnsi="Arial Unicode MS" w:cs="Arial Unicode MS"/>
      <w:sz w:val="24"/>
      <w:szCs w:val="24"/>
      <w:lang w:eastAsia="fr-FR"/>
    </w:rPr>
  </w:style>
  <w:style w:type="paragraph" w:styleId="Retraitcorpsdetexte3">
    <w:name w:val="Body Text Indent 3"/>
    <w:basedOn w:val="Normal"/>
    <w:link w:val="Retraitcorpsdetexte3Car"/>
    <w:semiHidden/>
    <w:rsid w:val="009B0114"/>
    <w:pPr>
      <w:ind w:left="567"/>
    </w:pPr>
    <w:rPr>
      <w:rFonts w:ascii="Helvetica" w:eastAsia="Times New Roman" w:hAnsi="Helvetica" w:cs="Times New Roman"/>
      <w:sz w:val="18"/>
      <w:szCs w:val="20"/>
      <w:lang w:eastAsia="fr-FR"/>
    </w:rPr>
  </w:style>
  <w:style w:type="character" w:customStyle="1" w:styleId="Retraitcorpsdetexte3Car">
    <w:name w:val="Retrait corps de texte 3 Car"/>
    <w:basedOn w:val="Policepardfaut"/>
    <w:link w:val="Retraitcorpsdetexte3"/>
    <w:semiHidden/>
    <w:rsid w:val="009B0114"/>
    <w:rPr>
      <w:rFonts w:ascii="Helvetica" w:eastAsia="Times New Roman" w:hAnsi="Helvetica" w:cs="Times New Roman"/>
      <w:sz w:val="18"/>
      <w:szCs w:val="20"/>
      <w:lang w:eastAsia="fr-FR"/>
    </w:rPr>
  </w:style>
  <w:style w:type="paragraph" w:customStyle="1" w:styleId="2-Point111-">
    <w:name w:val="2-Point 111 -"/>
    <w:basedOn w:val="Normal"/>
    <w:rsid w:val="009B0114"/>
    <w:pPr>
      <w:spacing w:before="200" w:after="100"/>
    </w:pPr>
    <w:rPr>
      <w:rFonts w:ascii="AvantGarde" w:eastAsia="Times New Roman" w:hAnsi="AvantGarde" w:cs="Times New Roman"/>
      <w:b/>
      <w:sz w:val="20"/>
      <w:szCs w:val="20"/>
      <w:lang w:eastAsia="fr-FR"/>
    </w:rPr>
  </w:style>
  <w:style w:type="paragraph" w:customStyle="1" w:styleId="Style10">
    <w:name w:val="Style 1"/>
    <w:basedOn w:val="Normal"/>
    <w:uiPriority w:val="99"/>
    <w:rsid w:val="009B0114"/>
    <w:pPr>
      <w:widowControl w:val="0"/>
      <w:autoSpaceDE w:val="0"/>
      <w:autoSpaceDN w:val="0"/>
      <w:adjustRightInd w:val="0"/>
      <w:jc w:val="left"/>
    </w:pPr>
    <w:rPr>
      <w:rFonts w:ascii="Times New Roman" w:eastAsia="Times New Roman" w:hAnsi="Times New Roman" w:cs="Times New Roman"/>
      <w:sz w:val="20"/>
      <w:szCs w:val="20"/>
      <w:lang w:eastAsia="fr-FR"/>
    </w:rPr>
  </w:style>
  <w:style w:type="character" w:customStyle="1" w:styleId="CharacterStyle1">
    <w:name w:val="Character Style 1"/>
    <w:uiPriority w:val="99"/>
    <w:rsid w:val="009B0114"/>
    <w:rPr>
      <w:rFonts w:ascii="Garamond" w:hAnsi="Garamond" w:cs="Garamond"/>
      <w:sz w:val="26"/>
      <w:szCs w:val="26"/>
    </w:rPr>
  </w:style>
  <w:style w:type="paragraph" w:customStyle="1" w:styleId="Style30">
    <w:name w:val="Style 3"/>
    <w:basedOn w:val="Normal"/>
    <w:rsid w:val="009B0114"/>
    <w:pPr>
      <w:widowControl w:val="0"/>
      <w:autoSpaceDE w:val="0"/>
      <w:autoSpaceDN w:val="0"/>
      <w:spacing w:before="72"/>
      <w:ind w:left="576"/>
      <w:jc w:val="left"/>
    </w:pPr>
    <w:rPr>
      <w:rFonts w:ascii="Times New Roman" w:eastAsia="Times New Roman" w:hAnsi="Times New Roman" w:cs="Times New Roman"/>
      <w:sz w:val="23"/>
      <w:szCs w:val="23"/>
      <w:lang w:eastAsia="fr-FR"/>
    </w:rPr>
  </w:style>
  <w:style w:type="character" w:customStyle="1" w:styleId="CharacterStyle3">
    <w:name w:val="Character Style 3"/>
    <w:rsid w:val="009B0114"/>
    <w:rPr>
      <w:sz w:val="23"/>
      <w:szCs w:val="23"/>
    </w:rPr>
  </w:style>
  <w:style w:type="character" w:styleId="Numrodepage">
    <w:name w:val="page number"/>
    <w:basedOn w:val="Policepardfaut"/>
    <w:rsid w:val="009B0114"/>
  </w:style>
  <w:style w:type="table" w:styleId="Grilledutableau">
    <w:name w:val="Table Grid"/>
    <w:basedOn w:val="TableauNormal"/>
    <w:uiPriority w:val="59"/>
    <w:rsid w:val="009B01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0">
    <w:name w:val="Style 2"/>
    <w:basedOn w:val="Normal"/>
    <w:uiPriority w:val="99"/>
    <w:rsid w:val="009B0114"/>
    <w:pPr>
      <w:widowControl w:val="0"/>
      <w:autoSpaceDE w:val="0"/>
      <w:autoSpaceDN w:val="0"/>
      <w:ind w:left="36"/>
      <w:jc w:val="left"/>
    </w:pPr>
    <w:rPr>
      <w:rFonts w:ascii="Tahoma" w:eastAsiaTheme="minorEastAsia" w:hAnsi="Tahoma" w:cs="Tahoma"/>
      <w:sz w:val="10"/>
      <w:szCs w:val="10"/>
      <w:lang w:eastAsia="fr-FR"/>
    </w:rPr>
  </w:style>
  <w:style w:type="character" w:customStyle="1" w:styleId="CharacterStyle2">
    <w:name w:val="Character Style 2"/>
    <w:uiPriority w:val="99"/>
    <w:rsid w:val="009B0114"/>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5DC"/>
    <w:pPr>
      <w:jc w:val="both"/>
    </w:pPr>
    <w:rPr>
      <w:rFonts w:ascii="Calibri" w:hAnsi="Calibri"/>
    </w:rPr>
  </w:style>
  <w:style w:type="paragraph" w:styleId="Titre1">
    <w:name w:val="heading 1"/>
    <w:basedOn w:val="Normal"/>
    <w:next w:val="Normal"/>
    <w:link w:val="Titre1Car"/>
    <w:qFormat/>
    <w:rsid w:val="00CA45DC"/>
    <w:pPr>
      <w:keepNext/>
      <w:keepLines/>
      <w:numPr>
        <w:numId w:val="3"/>
      </w:numPr>
      <w:tabs>
        <w:tab w:val="left" w:pos="1843"/>
      </w:tabs>
      <w:spacing w:before="480" w:after="480"/>
      <w:ind w:right="425"/>
      <w:jc w:val="left"/>
      <w:outlineLvl w:val="0"/>
    </w:pPr>
    <w:rPr>
      <w:rFonts w:eastAsiaTheme="majorEastAsia" w:cstheme="majorBidi"/>
      <w:b/>
      <w:bCs/>
      <w:caps/>
      <w:color w:val="B06C96" w:themeColor="accent2"/>
      <w:sz w:val="32"/>
      <w:szCs w:val="28"/>
    </w:rPr>
  </w:style>
  <w:style w:type="paragraph" w:styleId="Titre2">
    <w:name w:val="heading 2"/>
    <w:basedOn w:val="Normal"/>
    <w:next w:val="Normal"/>
    <w:link w:val="Titre2Car"/>
    <w:autoRedefine/>
    <w:unhideWhenUsed/>
    <w:qFormat/>
    <w:rsid w:val="00CA45DC"/>
    <w:pPr>
      <w:keepNext/>
      <w:keepLines/>
      <w:numPr>
        <w:ilvl w:val="1"/>
        <w:numId w:val="3"/>
      </w:numPr>
      <w:tabs>
        <w:tab w:val="left" w:pos="993"/>
      </w:tabs>
      <w:spacing w:before="240" w:after="240"/>
      <w:jc w:val="left"/>
      <w:outlineLvl w:val="1"/>
    </w:pPr>
    <w:rPr>
      <w:rFonts w:eastAsiaTheme="majorEastAsia" w:cs="Calibri"/>
      <w:b/>
      <w:bCs/>
      <w:color w:val="FF0000"/>
      <w:sz w:val="26"/>
      <w:szCs w:val="26"/>
    </w:rPr>
  </w:style>
  <w:style w:type="paragraph" w:styleId="Titre3">
    <w:name w:val="heading 3"/>
    <w:basedOn w:val="Normal"/>
    <w:next w:val="Normal"/>
    <w:link w:val="Titre3Car"/>
    <w:autoRedefine/>
    <w:unhideWhenUsed/>
    <w:qFormat/>
    <w:rsid w:val="00CA45DC"/>
    <w:pPr>
      <w:keepNext/>
      <w:keepLines/>
      <w:numPr>
        <w:ilvl w:val="2"/>
        <w:numId w:val="3"/>
      </w:numPr>
      <w:tabs>
        <w:tab w:val="left" w:pos="1701"/>
      </w:tabs>
      <w:jc w:val="left"/>
      <w:outlineLvl w:val="2"/>
    </w:pPr>
    <w:rPr>
      <w:rFonts w:eastAsiaTheme="majorEastAsia" w:cstheme="majorBidi"/>
      <w:b/>
      <w:bCs/>
      <w:caps/>
      <w:color w:val="9D9D9D" w:themeColor="background2" w:themeShade="BF"/>
      <w:sz w:val="24"/>
    </w:rPr>
  </w:style>
  <w:style w:type="paragraph" w:styleId="Titre4">
    <w:name w:val="heading 4"/>
    <w:basedOn w:val="Normal"/>
    <w:next w:val="Normal"/>
    <w:link w:val="Titre4Car"/>
    <w:autoRedefine/>
    <w:semiHidden/>
    <w:unhideWhenUsed/>
    <w:qFormat/>
    <w:rsid w:val="00CA45DC"/>
    <w:pPr>
      <w:keepNext/>
      <w:keepLines/>
      <w:tabs>
        <w:tab w:val="left" w:pos="567"/>
      </w:tabs>
      <w:spacing w:before="120"/>
      <w:outlineLvl w:val="3"/>
    </w:pPr>
    <w:rPr>
      <w:rFonts w:eastAsiaTheme="majorEastAsia" w:cstheme="majorBidi"/>
      <w:b/>
      <w:bCs/>
      <w:iCs/>
      <w:color w:val="B06C96" w:themeColor="accent2"/>
      <w:u w:val="single"/>
    </w:rPr>
  </w:style>
  <w:style w:type="paragraph" w:styleId="Titre5">
    <w:name w:val="heading 5"/>
    <w:basedOn w:val="Normal"/>
    <w:next w:val="Normal"/>
    <w:link w:val="Titre5Car"/>
    <w:autoRedefine/>
    <w:semiHidden/>
    <w:unhideWhenUsed/>
    <w:qFormat/>
    <w:rsid w:val="00CA45DC"/>
    <w:pPr>
      <w:keepNext/>
      <w:keepLines/>
      <w:numPr>
        <w:ilvl w:val="4"/>
        <w:numId w:val="2"/>
      </w:numPr>
      <w:spacing w:before="200"/>
      <w:outlineLvl w:val="4"/>
    </w:pPr>
    <w:rPr>
      <w:rFonts w:eastAsiaTheme="majorEastAsia" w:cstheme="majorBidi"/>
      <w:b/>
      <w:color w:val="8A4A71" w:themeColor="accent2" w:themeShade="BF"/>
      <w:u w:val="single"/>
    </w:rPr>
  </w:style>
  <w:style w:type="paragraph" w:styleId="Titre6">
    <w:name w:val="heading 6"/>
    <w:basedOn w:val="Normal"/>
    <w:next w:val="Normal"/>
    <w:link w:val="Titre6Car"/>
    <w:uiPriority w:val="9"/>
    <w:semiHidden/>
    <w:unhideWhenUsed/>
    <w:qFormat/>
    <w:rsid w:val="00CA45DC"/>
    <w:pPr>
      <w:keepNext/>
      <w:keepLines/>
      <w:spacing w:before="200"/>
      <w:outlineLvl w:val="5"/>
    </w:pPr>
    <w:rPr>
      <w:rFonts w:asciiTheme="majorHAnsi" w:eastAsiaTheme="majorEastAsia" w:hAnsiTheme="majorHAnsi" w:cstheme="majorBidi"/>
      <w:i/>
      <w:iCs/>
      <w:color w:val="301628" w:themeColor="accent1" w:themeShade="7F"/>
    </w:rPr>
  </w:style>
  <w:style w:type="paragraph" w:styleId="Titre7">
    <w:name w:val="heading 7"/>
    <w:basedOn w:val="Normal"/>
    <w:next w:val="Normal"/>
    <w:link w:val="Titre7Car"/>
    <w:qFormat/>
    <w:rsid w:val="00CA45DC"/>
    <w:pPr>
      <w:keepNext/>
      <w:jc w:val="left"/>
      <w:outlineLvl w:val="6"/>
    </w:pPr>
    <w:rPr>
      <w:rFonts w:ascii="Arial" w:eastAsiaTheme="majorEastAsia" w:hAnsi="Arial" w:cs="Arial"/>
      <w:b/>
      <w:szCs w:val="24"/>
    </w:rPr>
  </w:style>
  <w:style w:type="paragraph" w:styleId="Titre8">
    <w:name w:val="heading 8"/>
    <w:basedOn w:val="Normal"/>
    <w:next w:val="Normal"/>
    <w:link w:val="Titre8Car"/>
    <w:qFormat/>
    <w:rsid w:val="00CA45DC"/>
    <w:pPr>
      <w:keepNext/>
      <w:ind w:left="-993"/>
      <w:jc w:val="left"/>
      <w:outlineLvl w:val="7"/>
    </w:pPr>
    <w:rPr>
      <w:rFonts w:ascii="Arial" w:eastAsiaTheme="majorEastAsia" w:hAnsi="Arial" w:cstheme="majorBidi"/>
      <w:b/>
      <w:bCs/>
      <w:szCs w:val="20"/>
    </w:rPr>
  </w:style>
  <w:style w:type="paragraph" w:styleId="Titre9">
    <w:name w:val="heading 9"/>
    <w:basedOn w:val="Normal"/>
    <w:next w:val="Normal"/>
    <w:link w:val="Titre9Car"/>
    <w:qFormat/>
    <w:rsid w:val="00CA45DC"/>
    <w:pPr>
      <w:keepNext/>
      <w:spacing w:before="40" w:after="40"/>
      <w:jc w:val="left"/>
      <w:outlineLvl w:val="8"/>
    </w:pPr>
    <w:rPr>
      <w:rFonts w:ascii="Arial" w:eastAsiaTheme="majorEastAsia" w:hAnsi="Arial" w:cstheme="majorBidi"/>
      <w:b/>
      <w:color w:val="0000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A45DC"/>
    <w:rPr>
      <w:rFonts w:ascii="Calibri" w:eastAsiaTheme="majorEastAsia" w:hAnsi="Calibri" w:cstheme="majorBidi"/>
      <w:b/>
      <w:bCs/>
      <w:caps/>
      <w:color w:val="B06C96" w:themeColor="accent2"/>
      <w:sz w:val="32"/>
      <w:szCs w:val="28"/>
    </w:rPr>
  </w:style>
  <w:style w:type="character" w:customStyle="1" w:styleId="Titre2Car">
    <w:name w:val="Titre 2 Car"/>
    <w:basedOn w:val="Policepardfaut"/>
    <w:link w:val="Titre2"/>
    <w:rsid w:val="00CA45DC"/>
    <w:rPr>
      <w:rFonts w:ascii="Calibri" w:eastAsiaTheme="majorEastAsia" w:hAnsi="Calibri" w:cs="Calibri"/>
      <w:b/>
      <w:bCs/>
      <w:color w:val="FF0000"/>
      <w:sz w:val="26"/>
      <w:szCs w:val="26"/>
    </w:rPr>
  </w:style>
  <w:style w:type="character" w:customStyle="1" w:styleId="Titre3Car">
    <w:name w:val="Titre 3 Car"/>
    <w:basedOn w:val="Policepardfaut"/>
    <w:link w:val="Titre3"/>
    <w:rsid w:val="00CA45DC"/>
    <w:rPr>
      <w:rFonts w:ascii="Calibri" w:eastAsiaTheme="majorEastAsia" w:hAnsi="Calibri" w:cstheme="majorBidi"/>
      <w:b/>
      <w:bCs/>
      <w:caps/>
      <w:color w:val="9D9D9D" w:themeColor="background2" w:themeShade="BF"/>
      <w:sz w:val="24"/>
    </w:rPr>
  </w:style>
  <w:style w:type="character" w:customStyle="1" w:styleId="Titre4Car">
    <w:name w:val="Titre 4 Car"/>
    <w:basedOn w:val="Policepardfaut"/>
    <w:link w:val="Titre4"/>
    <w:semiHidden/>
    <w:rsid w:val="00CA45DC"/>
    <w:rPr>
      <w:rFonts w:ascii="Calibri" w:eastAsiaTheme="majorEastAsia" w:hAnsi="Calibri" w:cstheme="majorBidi"/>
      <w:b/>
      <w:bCs/>
      <w:iCs/>
      <w:color w:val="B06C96" w:themeColor="accent2"/>
      <w:u w:val="single"/>
    </w:rPr>
  </w:style>
  <w:style w:type="character" w:customStyle="1" w:styleId="Titre5Car">
    <w:name w:val="Titre 5 Car"/>
    <w:basedOn w:val="Policepardfaut"/>
    <w:link w:val="Titre5"/>
    <w:semiHidden/>
    <w:rsid w:val="00CA45DC"/>
    <w:rPr>
      <w:rFonts w:ascii="Calibri" w:eastAsiaTheme="majorEastAsia" w:hAnsi="Calibri" w:cstheme="majorBidi"/>
      <w:b/>
      <w:color w:val="8A4A71" w:themeColor="accent2" w:themeShade="BF"/>
      <w:u w:val="single"/>
    </w:rPr>
  </w:style>
  <w:style w:type="character" w:customStyle="1" w:styleId="Titre6Car">
    <w:name w:val="Titre 6 Car"/>
    <w:basedOn w:val="Policepardfaut"/>
    <w:link w:val="Titre6"/>
    <w:uiPriority w:val="9"/>
    <w:semiHidden/>
    <w:rsid w:val="00CA45DC"/>
    <w:rPr>
      <w:rFonts w:asciiTheme="majorHAnsi" w:eastAsiaTheme="majorEastAsia" w:hAnsiTheme="majorHAnsi" w:cstheme="majorBidi"/>
      <w:i/>
      <w:iCs/>
      <w:color w:val="301628" w:themeColor="accent1" w:themeShade="7F"/>
    </w:rPr>
  </w:style>
  <w:style w:type="character" w:customStyle="1" w:styleId="Titre7Car">
    <w:name w:val="Titre 7 Car"/>
    <w:basedOn w:val="Policepardfaut"/>
    <w:link w:val="Titre7"/>
    <w:rsid w:val="00CA45DC"/>
    <w:rPr>
      <w:rFonts w:ascii="Arial" w:eastAsiaTheme="majorEastAsia" w:hAnsi="Arial" w:cs="Arial"/>
      <w:b/>
      <w:szCs w:val="24"/>
    </w:rPr>
  </w:style>
  <w:style w:type="character" w:customStyle="1" w:styleId="Titre8Car">
    <w:name w:val="Titre 8 Car"/>
    <w:basedOn w:val="Policepardfaut"/>
    <w:link w:val="Titre8"/>
    <w:rsid w:val="00CA45DC"/>
    <w:rPr>
      <w:rFonts w:ascii="Arial" w:eastAsiaTheme="majorEastAsia" w:hAnsi="Arial" w:cstheme="majorBidi"/>
      <w:b/>
      <w:bCs/>
      <w:szCs w:val="20"/>
    </w:rPr>
  </w:style>
  <w:style w:type="character" w:customStyle="1" w:styleId="Titre9Car">
    <w:name w:val="Titre 9 Car"/>
    <w:basedOn w:val="Policepardfaut"/>
    <w:link w:val="Titre9"/>
    <w:rsid w:val="00CA45DC"/>
    <w:rPr>
      <w:rFonts w:ascii="Arial" w:eastAsiaTheme="majorEastAsia" w:hAnsi="Arial" w:cstheme="majorBidi"/>
      <w:b/>
      <w:color w:val="0000FF"/>
      <w:sz w:val="20"/>
      <w:szCs w:val="20"/>
    </w:rPr>
  </w:style>
  <w:style w:type="paragraph" w:styleId="Lgende">
    <w:name w:val="caption"/>
    <w:basedOn w:val="Normal"/>
    <w:next w:val="Normal"/>
    <w:uiPriority w:val="35"/>
    <w:semiHidden/>
    <w:unhideWhenUsed/>
    <w:qFormat/>
    <w:rsid w:val="00CA45DC"/>
    <w:pPr>
      <w:spacing w:after="200"/>
    </w:pPr>
    <w:rPr>
      <w:b/>
      <w:bCs/>
      <w:color w:val="612C51" w:themeColor="accent1"/>
      <w:sz w:val="18"/>
      <w:szCs w:val="18"/>
    </w:rPr>
  </w:style>
  <w:style w:type="paragraph" w:styleId="Titre">
    <w:name w:val="Title"/>
    <w:basedOn w:val="Normal"/>
    <w:link w:val="TitreCar"/>
    <w:qFormat/>
    <w:rsid w:val="00CA45DC"/>
    <w:pPr>
      <w:jc w:val="center"/>
    </w:pPr>
    <w:rPr>
      <w:rFonts w:ascii="Times New Roman" w:eastAsiaTheme="majorEastAsia" w:hAnsi="Times New Roman" w:cstheme="majorBidi"/>
      <w:b/>
      <w:caps/>
      <w:sz w:val="32"/>
      <w:szCs w:val="20"/>
    </w:rPr>
  </w:style>
  <w:style w:type="character" w:customStyle="1" w:styleId="TitreCar">
    <w:name w:val="Titre Car"/>
    <w:basedOn w:val="Policepardfaut"/>
    <w:link w:val="Titre"/>
    <w:rsid w:val="00CA45DC"/>
    <w:rPr>
      <w:rFonts w:ascii="Times New Roman" w:eastAsiaTheme="majorEastAsia" w:hAnsi="Times New Roman" w:cstheme="majorBidi"/>
      <w:b/>
      <w:caps/>
      <w:sz w:val="32"/>
      <w:szCs w:val="20"/>
    </w:rPr>
  </w:style>
  <w:style w:type="paragraph" w:styleId="Sous-titre">
    <w:name w:val="Subtitle"/>
    <w:basedOn w:val="Normal"/>
    <w:next w:val="Normal"/>
    <w:link w:val="Sous-titreCar"/>
    <w:uiPriority w:val="11"/>
    <w:qFormat/>
    <w:rsid w:val="00CA45DC"/>
    <w:pPr>
      <w:numPr>
        <w:ilvl w:val="1"/>
      </w:numPr>
    </w:pPr>
    <w:rPr>
      <w:rFonts w:asciiTheme="majorHAnsi" w:eastAsiaTheme="majorEastAsia" w:hAnsiTheme="majorHAnsi" w:cstheme="majorBidi"/>
      <w:i/>
      <w:iCs/>
      <w:color w:val="612C51" w:themeColor="accent1"/>
      <w:spacing w:val="15"/>
      <w:sz w:val="24"/>
      <w:szCs w:val="24"/>
    </w:rPr>
  </w:style>
  <w:style w:type="character" w:customStyle="1" w:styleId="Sous-titreCar">
    <w:name w:val="Sous-titre Car"/>
    <w:basedOn w:val="Policepardfaut"/>
    <w:link w:val="Sous-titre"/>
    <w:uiPriority w:val="11"/>
    <w:rsid w:val="00CA45DC"/>
    <w:rPr>
      <w:rFonts w:asciiTheme="majorHAnsi" w:eastAsiaTheme="majorEastAsia" w:hAnsiTheme="majorHAnsi" w:cstheme="majorBidi"/>
      <w:i/>
      <w:iCs/>
      <w:color w:val="612C51" w:themeColor="accent1"/>
      <w:spacing w:val="15"/>
      <w:sz w:val="24"/>
      <w:szCs w:val="24"/>
    </w:rPr>
  </w:style>
  <w:style w:type="character" w:styleId="lev">
    <w:name w:val="Strong"/>
    <w:uiPriority w:val="22"/>
    <w:qFormat/>
    <w:rsid w:val="00CA45DC"/>
    <w:rPr>
      <w:b/>
      <w:bCs/>
    </w:rPr>
  </w:style>
  <w:style w:type="character" w:styleId="Accentuation">
    <w:name w:val="Emphasis"/>
    <w:qFormat/>
    <w:rsid w:val="00CA45DC"/>
    <w:rPr>
      <w:i/>
      <w:iCs/>
    </w:rPr>
  </w:style>
  <w:style w:type="paragraph" w:styleId="Sansinterligne">
    <w:name w:val="No Spacing"/>
    <w:link w:val="SansinterligneCar"/>
    <w:uiPriority w:val="1"/>
    <w:qFormat/>
    <w:rsid w:val="00CA45DC"/>
    <w:rPr>
      <w:rFonts w:eastAsiaTheme="minorEastAsia"/>
    </w:rPr>
  </w:style>
  <w:style w:type="character" w:customStyle="1" w:styleId="SansinterligneCar">
    <w:name w:val="Sans interligne Car"/>
    <w:basedOn w:val="Policepardfaut"/>
    <w:link w:val="Sansinterligne"/>
    <w:uiPriority w:val="1"/>
    <w:rsid w:val="00CA45DC"/>
    <w:rPr>
      <w:rFonts w:eastAsiaTheme="minorEastAsia"/>
    </w:rPr>
  </w:style>
  <w:style w:type="paragraph" w:styleId="Paragraphedeliste">
    <w:name w:val="List Paragraph"/>
    <w:basedOn w:val="Normal"/>
    <w:link w:val="ParagraphedelisteCar"/>
    <w:uiPriority w:val="1"/>
    <w:qFormat/>
    <w:rsid w:val="00CA45DC"/>
    <w:pPr>
      <w:ind w:left="720"/>
      <w:contextualSpacing/>
    </w:pPr>
  </w:style>
  <w:style w:type="character" w:customStyle="1" w:styleId="ParagraphedelisteCar">
    <w:name w:val="Paragraphe de liste Car"/>
    <w:basedOn w:val="Policepardfaut"/>
    <w:link w:val="Paragraphedeliste"/>
    <w:uiPriority w:val="34"/>
    <w:rsid w:val="00CA45DC"/>
    <w:rPr>
      <w:rFonts w:ascii="Calibri" w:hAnsi="Calibri"/>
    </w:rPr>
  </w:style>
  <w:style w:type="paragraph" w:styleId="Citation">
    <w:name w:val="Quote"/>
    <w:basedOn w:val="Normal"/>
    <w:next w:val="Normal"/>
    <w:link w:val="CitationCar"/>
    <w:uiPriority w:val="29"/>
    <w:qFormat/>
    <w:rsid w:val="00CA45DC"/>
    <w:rPr>
      <w:i/>
      <w:iCs/>
      <w:color w:val="000000" w:themeColor="text1"/>
    </w:rPr>
  </w:style>
  <w:style w:type="character" w:customStyle="1" w:styleId="CitationCar">
    <w:name w:val="Citation Car"/>
    <w:basedOn w:val="Policepardfaut"/>
    <w:link w:val="Citation"/>
    <w:uiPriority w:val="29"/>
    <w:rsid w:val="00CA45DC"/>
    <w:rPr>
      <w:rFonts w:ascii="Calibri" w:hAnsi="Calibri"/>
      <w:i/>
      <w:iCs/>
      <w:color w:val="000000" w:themeColor="text1"/>
    </w:rPr>
  </w:style>
  <w:style w:type="paragraph" w:styleId="Citationintense">
    <w:name w:val="Intense Quote"/>
    <w:basedOn w:val="Normal"/>
    <w:next w:val="Normal"/>
    <w:link w:val="CitationintenseCar"/>
    <w:uiPriority w:val="30"/>
    <w:qFormat/>
    <w:rsid w:val="00CA45DC"/>
    <w:pPr>
      <w:pBdr>
        <w:bottom w:val="single" w:sz="4" w:space="4" w:color="612C51" w:themeColor="accent1"/>
      </w:pBdr>
      <w:spacing w:before="200" w:after="280"/>
      <w:ind w:left="936" w:right="936"/>
    </w:pPr>
    <w:rPr>
      <w:b/>
      <w:bCs/>
      <w:i/>
      <w:iCs/>
      <w:color w:val="612C51" w:themeColor="accent1"/>
    </w:rPr>
  </w:style>
  <w:style w:type="character" w:customStyle="1" w:styleId="CitationintenseCar">
    <w:name w:val="Citation intense Car"/>
    <w:basedOn w:val="Policepardfaut"/>
    <w:link w:val="Citationintense"/>
    <w:uiPriority w:val="30"/>
    <w:rsid w:val="00CA45DC"/>
    <w:rPr>
      <w:rFonts w:ascii="Calibri" w:hAnsi="Calibri"/>
      <w:b/>
      <w:bCs/>
      <w:i/>
      <w:iCs/>
      <w:color w:val="612C51" w:themeColor="accent1"/>
    </w:rPr>
  </w:style>
  <w:style w:type="character" w:styleId="Emphaseple">
    <w:name w:val="Subtle Emphasis"/>
    <w:uiPriority w:val="19"/>
    <w:qFormat/>
    <w:rsid w:val="00CA45DC"/>
    <w:rPr>
      <w:i/>
      <w:iCs/>
      <w:color w:val="808080" w:themeColor="text1" w:themeTint="7F"/>
    </w:rPr>
  </w:style>
  <w:style w:type="character" w:styleId="Emphaseintense">
    <w:name w:val="Intense Emphasis"/>
    <w:uiPriority w:val="21"/>
    <w:qFormat/>
    <w:rsid w:val="00CA45DC"/>
    <w:rPr>
      <w:b/>
      <w:bCs/>
      <w:i/>
      <w:iCs/>
      <w:color w:val="612C51" w:themeColor="accent1"/>
    </w:rPr>
  </w:style>
  <w:style w:type="character" w:styleId="Rfrenceple">
    <w:name w:val="Subtle Reference"/>
    <w:uiPriority w:val="31"/>
    <w:qFormat/>
    <w:rsid w:val="00CA45DC"/>
    <w:rPr>
      <w:smallCaps/>
      <w:color w:val="B06C96" w:themeColor="accent2"/>
      <w:u w:val="single"/>
    </w:rPr>
  </w:style>
  <w:style w:type="character" w:styleId="Rfrenceintense">
    <w:name w:val="Intense Reference"/>
    <w:uiPriority w:val="32"/>
    <w:qFormat/>
    <w:rsid w:val="00CA45DC"/>
    <w:rPr>
      <w:b/>
      <w:bCs/>
      <w:smallCaps/>
      <w:color w:val="B06C96" w:themeColor="accent2"/>
      <w:spacing w:val="5"/>
      <w:u w:val="single"/>
    </w:rPr>
  </w:style>
  <w:style w:type="character" w:styleId="Titredulivre">
    <w:name w:val="Book Title"/>
    <w:uiPriority w:val="33"/>
    <w:qFormat/>
    <w:rsid w:val="00CA45DC"/>
    <w:rPr>
      <w:b/>
      <w:bCs/>
      <w:smallCaps/>
      <w:spacing w:val="5"/>
    </w:rPr>
  </w:style>
  <w:style w:type="paragraph" w:styleId="En-ttedetabledesmatires">
    <w:name w:val="TOC Heading"/>
    <w:basedOn w:val="Titre1"/>
    <w:next w:val="Normal"/>
    <w:uiPriority w:val="39"/>
    <w:semiHidden/>
    <w:unhideWhenUsed/>
    <w:qFormat/>
    <w:rsid w:val="00CA45DC"/>
    <w:pPr>
      <w:numPr>
        <w:numId w:val="0"/>
      </w:numPr>
      <w:spacing w:after="0" w:line="276" w:lineRule="auto"/>
      <w:outlineLvl w:val="9"/>
    </w:pPr>
    <w:rPr>
      <w:rFonts w:asciiTheme="majorHAnsi" w:hAnsiTheme="majorHAnsi"/>
      <w:caps w:val="0"/>
      <w:color w:val="48213C" w:themeColor="accent1" w:themeShade="BF"/>
      <w:sz w:val="28"/>
    </w:rPr>
  </w:style>
  <w:style w:type="paragraph" w:customStyle="1" w:styleId="CACTitre10">
    <w:name w:val="CAC Titre 1"/>
    <w:basedOn w:val="Titre1"/>
    <w:link w:val="CACTitre1Car"/>
    <w:qFormat/>
    <w:rsid w:val="00CA45DC"/>
    <w:pPr>
      <w:numPr>
        <w:numId w:val="0"/>
      </w:numPr>
      <w:tabs>
        <w:tab w:val="clear" w:pos="1843"/>
        <w:tab w:val="left" w:pos="1985"/>
      </w:tabs>
      <w:ind w:left="1985" w:hanging="1985"/>
    </w:pPr>
  </w:style>
  <w:style w:type="character" w:customStyle="1" w:styleId="CACTitre1Car">
    <w:name w:val="CAC Titre 1 Car"/>
    <w:basedOn w:val="Titre1Car"/>
    <w:link w:val="CACTitre10"/>
    <w:rsid w:val="00CA45DC"/>
    <w:rPr>
      <w:rFonts w:ascii="Calibri" w:eastAsiaTheme="majorEastAsia" w:hAnsi="Calibri" w:cstheme="majorBidi"/>
      <w:b/>
      <w:bCs/>
      <w:caps/>
      <w:color w:val="B06C96" w:themeColor="accent2"/>
      <w:sz w:val="32"/>
      <w:szCs w:val="28"/>
    </w:rPr>
  </w:style>
  <w:style w:type="paragraph" w:customStyle="1" w:styleId="CACTitre1">
    <w:name w:val="CAC.Titre 1"/>
    <w:basedOn w:val="Paragraphedeliste"/>
    <w:link w:val="CACTitre1Car0"/>
    <w:autoRedefine/>
    <w:qFormat/>
    <w:rsid w:val="00827DD2"/>
    <w:pPr>
      <w:numPr>
        <w:numId w:val="1"/>
      </w:numPr>
    </w:pPr>
    <w:rPr>
      <w:b/>
      <w:caps/>
      <w:color w:val="7030A0"/>
      <w:sz w:val="28"/>
    </w:rPr>
  </w:style>
  <w:style w:type="character" w:customStyle="1" w:styleId="CACTitre1Car0">
    <w:name w:val="CAC.Titre 1 Car"/>
    <w:basedOn w:val="ParagraphedelisteCar"/>
    <w:link w:val="CACTitre1"/>
    <w:rsid w:val="00827DD2"/>
    <w:rPr>
      <w:rFonts w:ascii="Calibri" w:hAnsi="Calibri"/>
      <w:b/>
      <w:caps/>
      <w:color w:val="7030A0"/>
      <w:sz w:val="28"/>
    </w:rPr>
  </w:style>
  <w:style w:type="paragraph" w:customStyle="1" w:styleId="CACTitre2">
    <w:name w:val="CAC.Titre 2"/>
    <w:basedOn w:val="Paragraphedeliste"/>
    <w:link w:val="CACTitre2Car"/>
    <w:autoRedefine/>
    <w:qFormat/>
    <w:rsid w:val="00034926"/>
    <w:pPr>
      <w:numPr>
        <w:ilvl w:val="1"/>
        <w:numId w:val="1"/>
      </w:numPr>
    </w:pPr>
    <w:rPr>
      <w:b/>
      <w:color w:val="372430" w:themeColor="accent4" w:themeShade="BF"/>
      <w:sz w:val="28"/>
    </w:rPr>
  </w:style>
  <w:style w:type="character" w:customStyle="1" w:styleId="CACTitre2Car">
    <w:name w:val="CAC.Titre 2 Car"/>
    <w:basedOn w:val="ParagraphedelisteCar"/>
    <w:link w:val="CACTitre2"/>
    <w:rsid w:val="00034926"/>
    <w:rPr>
      <w:rFonts w:ascii="Calibri" w:hAnsi="Calibri"/>
      <w:b/>
      <w:color w:val="372430" w:themeColor="accent4" w:themeShade="BF"/>
      <w:sz w:val="28"/>
    </w:rPr>
  </w:style>
  <w:style w:type="paragraph" w:customStyle="1" w:styleId="CACTitre3">
    <w:name w:val="CAC.Titre 3"/>
    <w:basedOn w:val="Paragraphedeliste"/>
    <w:link w:val="CACTitre3Car"/>
    <w:autoRedefine/>
    <w:qFormat/>
    <w:rsid w:val="005C5414"/>
    <w:pPr>
      <w:numPr>
        <w:ilvl w:val="2"/>
        <w:numId w:val="1"/>
      </w:numPr>
    </w:pPr>
    <w:rPr>
      <w:b/>
      <w:color w:val="8A4A71" w:themeColor="accent2" w:themeShade="BF"/>
      <w:sz w:val="26"/>
    </w:rPr>
  </w:style>
  <w:style w:type="character" w:customStyle="1" w:styleId="CACTitre3Car">
    <w:name w:val="CAC.Titre 3 Car"/>
    <w:basedOn w:val="ParagraphedelisteCar"/>
    <w:link w:val="CACTitre3"/>
    <w:rsid w:val="005C5414"/>
    <w:rPr>
      <w:rFonts w:ascii="Calibri" w:hAnsi="Calibri"/>
      <w:b/>
      <w:color w:val="8A4A71" w:themeColor="accent2" w:themeShade="BF"/>
      <w:sz w:val="26"/>
    </w:rPr>
  </w:style>
  <w:style w:type="paragraph" w:customStyle="1" w:styleId="Style1">
    <w:name w:val="Style1"/>
    <w:basedOn w:val="Titre1"/>
    <w:qFormat/>
    <w:rsid w:val="00CA45DC"/>
    <w:pPr>
      <w:numPr>
        <w:numId w:val="0"/>
      </w:numPr>
      <w:spacing w:after="240"/>
    </w:pPr>
  </w:style>
  <w:style w:type="paragraph" w:customStyle="1" w:styleId="Style2">
    <w:name w:val="Style2"/>
    <w:basedOn w:val="Titre1"/>
    <w:autoRedefine/>
    <w:qFormat/>
    <w:rsid w:val="00CA45DC"/>
    <w:pPr>
      <w:numPr>
        <w:numId w:val="0"/>
      </w:numPr>
      <w:spacing w:after="240"/>
    </w:pPr>
  </w:style>
  <w:style w:type="paragraph" w:customStyle="1" w:styleId="Style3">
    <w:name w:val="Style3"/>
    <w:basedOn w:val="Titre3"/>
    <w:autoRedefine/>
    <w:qFormat/>
    <w:rsid w:val="00CA45DC"/>
    <w:pPr>
      <w:numPr>
        <w:ilvl w:val="0"/>
        <w:numId w:val="0"/>
      </w:numPr>
      <w:spacing w:before="120" w:after="120"/>
    </w:pPr>
  </w:style>
  <w:style w:type="paragraph" w:customStyle="1" w:styleId="Style4">
    <w:name w:val="Style4"/>
    <w:basedOn w:val="Titre3"/>
    <w:autoRedefine/>
    <w:qFormat/>
    <w:rsid w:val="00CA45DC"/>
    <w:pPr>
      <w:numPr>
        <w:ilvl w:val="0"/>
        <w:numId w:val="0"/>
      </w:numPr>
      <w:spacing w:after="120"/>
    </w:pPr>
  </w:style>
  <w:style w:type="paragraph" w:customStyle="1" w:styleId="Style5">
    <w:name w:val="Style5"/>
    <w:basedOn w:val="Titre3"/>
    <w:autoRedefine/>
    <w:qFormat/>
    <w:rsid w:val="00CA45DC"/>
    <w:pPr>
      <w:numPr>
        <w:ilvl w:val="0"/>
        <w:numId w:val="0"/>
      </w:numPr>
      <w:spacing w:after="120"/>
    </w:pPr>
  </w:style>
  <w:style w:type="paragraph" w:customStyle="1" w:styleId="CACTitre4">
    <w:name w:val="CAC.Titre 4"/>
    <w:basedOn w:val="Paragraphedeliste"/>
    <w:link w:val="CACTitre4Car"/>
    <w:autoRedefine/>
    <w:qFormat/>
    <w:rsid w:val="005C5414"/>
    <w:pPr>
      <w:numPr>
        <w:ilvl w:val="3"/>
        <w:numId w:val="1"/>
      </w:numPr>
    </w:pPr>
    <w:rPr>
      <w:b/>
      <w:color w:val="7030A0"/>
      <w:u w:val="single"/>
    </w:rPr>
  </w:style>
  <w:style w:type="character" w:customStyle="1" w:styleId="CACTitre4Car">
    <w:name w:val="CAC.Titre 4 Car"/>
    <w:basedOn w:val="ParagraphedelisteCar"/>
    <w:link w:val="CACTitre4"/>
    <w:rsid w:val="005C5414"/>
    <w:rPr>
      <w:rFonts w:ascii="Calibri" w:hAnsi="Calibri"/>
      <w:b/>
      <w:color w:val="7030A0"/>
      <w:u w:val="single"/>
    </w:rPr>
  </w:style>
  <w:style w:type="paragraph" w:customStyle="1" w:styleId="CACTitre5">
    <w:name w:val="CAC.Titre 5"/>
    <w:basedOn w:val="Paragraphedeliste"/>
    <w:link w:val="CACTitre5Car"/>
    <w:autoRedefine/>
    <w:qFormat/>
    <w:rsid w:val="005C5414"/>
    <w:pPr>
      <w:ind w:left="1418" w:firstLine="22"/>
    </w:pPr>
    <w:rPr>
      <w:color w:val="7030A0"/>
    </w:rPr>
  </w:style>
  <w:style w:type="character" w:customStyle="1" w:styleId="CACTitre5Car">
    <w:name w:val="CAC.Titre 5 Car"/>
    <w:basedOn w:val="ParagraphedelisteCar"/>
    <w:link w:val="CACTitre5"/>
    <w:rsid w:val="005C5414"/>
    <w:rPr>
      <w:rFonts w:ascii="Calibri" w:hAnsi="Calibri"/>
      <w:color w:val="7030A0"/>
    </w:rPr>
  </w:style>
  <w:style w:type="paragraph" w:customStyle="1" w:styleId="CACCorps">
    <w:name w:val="CAC.Corps"/>
    <w:basedOn w:val="Normal"/>
    <w:link w:val="CACCorpsCar"/>
    <w:qFormat/>
    <w:rsid w:val="00FD3E5B"/>
    <w:pPr>
      <w:ind w:left="46"/>
    </w:pPr>
  </w:style>
  <w:style w:type="character" w:customStyle="1" w:styleId="CACCorpsCar">
    <w:name w:val="CAC.Corps Car"/>
    <w:basedOn w:val="Policepardfaut"/>
    <w:link w:val="CACCorps"/>
    <w:rsid w:val="00FD3E5B"/>
    <w:rPr>
      <w:rFonts w:ascii="Calibri" w:hAnsi="Calibri"/>
    </w:rPr>
  </w:style>
  <w:style w:type="paragraph" w:styleId="Notedebasdepage">
    <w:name w:val="footnote text"/>
    <w:basedOn w:val="Normal"/>
    <w:link w:val="NotedebasdepageCar"/>
    <w:semiHidden/>
    <w:unhideWhenUsed/>
    <w:rsid w:val="00706B95"/>
    <w:rPr>
      <w:sz w:val="20"/>
      <w:szCs w:val="20"/>
    </w:rPr>
  </w:style>
  <w:style w:type="character" w:customStyle="1" w:styleId="NotedebasdepageCar">
    <w:name w:val="Note de bas de page Car"/>
    <w:basedOn w:val="Policepardfaut"/>
    <w:link w:val="Notedebasdepage"/>
    <w:uiPriority w:val="99"/>
    <w:rsid w:val="00706B95"/>
    <w:rPr>
      <w:rFonts w:ascii="Calibri" w:hAnsi="Calibri"/>
      <w:sz w:val="20"/>
      <w:szCs w:val="20"/>
    </w:rPr>
  </w:style>
  <w:style w:type="character" w:styleId="Appelnotedebasdep">
    <w:name w:val="footnote reference"/>
    <w:basedOn w:val="Policepardfaut"/>
    <w:semiHidden/>
    <w:unhideWhenUsed/>
    <w:rsid w:val="00706B95"/>
    <w:rPr>
      <w:vertAlign w:val="superscript"/>
    </w:rPr>
  </w:style>
  <w:style w:type="table" w:customStyle="1" w:styleId="TableNormal">
    <w:name w:val="Table Normal"/>
    <w:uiPriority w:val="2"/>
    <w:semiHidden/>
    <w:unhideWhenUsed/>
    <w:qFormat/>
    <w:rsid w:val="00985251"/>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85251"/>
    <w:pPr>
      <w:widowControl w:val="0"/>
      <w:jc w:val="left"/>
    </w:pPr>
    <w:rPr>
      <w:rFonts w:asciiTheme="minorHAnsi" w:hAnsiTheme="minorHAnsi"/>
      <w:lang w:val="en-US"/>
    </w:rPr>
  </w:style>
  <w:style w:type="paragraph" w:styleId="Textedebulles">
    <w:name w:val="Balloon Text"/>
    <w:basedOn w:val="Normal"/>
    <w:link w:val="TextedebullesCar"/>
    <w:uiPriority w:val="99"/>
    <w:semiHidden/>
    <w:unhideWhenUsed/>
    <w:rsid w:val="001231AF"/>
    <w:rPr>
      <w:rFonts w:ascii="Tahoma" w:hAnsi="Tahoma" w:cs="Tahoma"/>
      <w:sz w:val="16"/>
      <w:szCs w:val="16"/>
    </w:rPr>
  </w:style>
  <w:style w:type="character" w:customStyle="1" w:styleId="TextedebullesCar">
    <w:name w:val="Texte de bulles Car"/>
    <w:basedOn w:val="Policepardfaut"/>
    <w:link w:val="Textedebulles"/>
    <w:uiPriority w:val="99"/>
    <w:semiHidden/>
    <w:rsid w:val="001231AF"/>
    <w:rPr>
      <w:rFonts w:ascii="Tahoma" w:hAnsi="Tahoma" w:cs="Tahoma"/>
      <w:sz w:val="16"/>
      <w:szCs w:val="16"/>
    </w:rPr>
  </w:style>
  <w:style w:type="paragraph" w:styleId="TM1">
    <w:name w:val="toc 1"/>
    <w:basedOn w:val="Normal"/>
    <w:next w:val="Normal"/>
    <w:autoRedefine/>
    <w:uiPriority w:val="39"/>
    <w:unhideWhenUsed/>
    <w:rsid w:val="00827DD2"/>
    <w:pPr>
      <w:tabs>
        <w:tab w:val="left" w:pos="1320"/>
        <w:tab w:val="right" w:leader="dot" w:pos="9062"/>
      </w:tabs>
      <w:spacing w:after="100"/>
    </w:pPr>
    <w:rPr>
      <w:rFonts w:asciiTheme="minorHAnsi" w:hAnsiTheme="minorHAnsi"/>
      <w:b/>
      <w:noProof/>
      <w:color w:val="7030A0"/>
      <w:sz w:val="20"/>
    </w:rPr>
  </w:style>
  <w:style w:type="paragraph" w:styleId="TM2">
    <w:name w:val="toc 2"/>
    <w:basedOn w:val="Normal"/>
    <w:next w:val="Normal"/>
    <w:autoRedefine/>
    <w:uiPriority w:val="39"/>
    <w:unhideWhenUsed/>
    <w:rsid w:val="00EB2DBB"/>
    <w:pPr>
      <w:spacing w:after="100"/>
      <w:ind w:left="220"/>
    </w:pPr>
  </w:style>
  <w:style w:type="paragraph" w:styleId="TM3">
    <w:name w:val="toc 3"/>
    <w:basedOn w:val="Normal"/>
    <w:next w:val="Normal"/>
    <w:autoRedefine/>
    <w:uiPriority w:val="39"/>
    <w:unhideWhenUsed/>
    <w:rsid w:val="00EB2DBB"/>
    <w:pPr>
      <w:spacing w:after="100"/>
      <w:ind w:left="440"/>
    </w:pPr>
  </w:style>
  <w:style w:type="character" w:styleId="Lienhypertexte">
    <w:name w:val="Hyperlink"/>
    <w:basedOn w:val="Policepardfaut"/>
    <w:uiPriority w:val="99"/>
    <w:unhideWhenUsed/>
    <w:rsid w:val="00EB2DBB"/>
    <w:rPr>
      <w:color w:val="17BBFD" w:themeColor="hyperlink"/>
      <w:u w:val="single"/>
    </w:rPr>
  </w:style>
  <w:style w:type="paragraph" w:styleId="TM4">
    <w:name w:val="toc 4"/>
    <w:basedOn w:val="Normal"/>
    <w:next w:val="Normal"/>
    <w:autoRedefine/>
    <w:uiPriority w:val="39"/>
    <w:unhideWhenUsed/>
    <w:rsid w:val="0002760D"/>
    <w:pPr>
      <w:spacing w:after="100" w:line="276" w:lineRule="auto"/>
      <w:ind w:left="660"/>
      <w:jc w:val="left"/>
    </w:pPr>
    <w:rPr>
      <w:rFonts w:asciiTheme="minorHAnsi" w:eastAsiaTheme="minorEastAsia" w:hAnsiTheme="minorHAnsi"/>
      <w:lang w:eastAsia="fr-FR"/>
    </w:rPr>
  </w:style>
  <w:style w:type="paragraph" w:styleId="TM5">
    <w:name w:val="toc 5"/>
    <w:basedOn w:val="Normal"/>
    <w:next w:val="Normal"/>
    <w:autoRedefine/>
    <w:uiPriority w:val="39"/>
    <w:unhideWhenUsed/>
    <w:rsid w:val="0002760D"/>
    <w:pPr>
      <w:spacing w:after="100" w:line="276" w:lineRule="auto"/>
      <w:ind w:left="880"/>
      <w:jc w:val="left"/>
    </w:pPr>
    <w:rPr>
      <w:rFonts w:asciiTheme="minorHAnsi" w:eastAsiaTheme="minorEastAsia" w:hAnsiTheme="minorHAnsi"/>
      <w:lang w:eastAsia="fr-FR"/>
    </w:rPr>
  </w:style>
  <w:style w:type="paragraph" w:styleId="TM6">
    <w:name w:val="toc 6"/>
    <w:basedOn w:val="Normal"/>
    <w:next w:val="Normal"/>
    <w:autoRedefine/>
    <w:uiPriority w:val="39"/>
    <w:unhideWhenUsed/>
    <w:rsid w:val="0002760D"/>
    <w:pPr>
      <w:spacing w:after="100" w:line="276" w:lineRule="auto"/>
      <w:ind w:left="1100"/>
      <w:jc w:val="left"/>
    </w:pPr>
    <w:rPr>
      <w:rFonts w:asciiTheme="minorHAnsi" w:eastAsiaTheme="minorEastAsia" w:hAnsiTheme="minorHAnsi"/>
      <w:lang w:eastAsia="fr-FR"/>
    </w:rPr>
  </w:style>
  <w:style w:type="paragraph" w:styleId="TM7">
    <w:name w:val="toc 7"/>
    <w:basedOn w:val="Normal"/>
    <w:next w:val="Normal"/>
    <w:autoRedefine/>
    <w:uiPriority w:val="39"/>
    <w:unhideWhenUsed/>
    <w:rsid w:val="0002760D"/>
    <w:pPr>
      <w:spacing w:after="100" w:line="276" w:lineRule="auto"/>
      <w:ind w:left="1320"/>
      <w:jc w:val="left"/>
    </w:pPr>
    <w:rPr>
      <w:rFonts w:asciiTheme="minorHAnsi" w:eastAsiaTheme="minorEastAsia" w:hAnsiTheme="minorHAnsi"/>
      <w:lang w:eastAsia="fr-FR"/>
    </w:rPr>
  </w:style>
  <w:style w:type="paragraph" w:styleId="TM8">
    <w:name w:val="toc 8"/>
    <w:basedOn w:val="Normal"/>
    <w:next w:val="Normal"/>
    <w:autoRedefine/>
    <w:uiPriority w:val="39"/>
    <w:unhideWhenUsed/>
    <w:rsid w:val="0002760D"/>
    <w:pPr>
      <w:spacing w:after="100" w:line="276" w:lineRule="auto"/>
      <w:ind w:left="1540"/>
      <w:jc w:val="left"/>
    </w:pPr>
    <w:rPr>
      <w:rFonts w:asciiTheme="minorHAnsi" w:eastAsiaTheme="minorEastAsia" w:hAnsiTheme="minorHAnsi"/>
      <w:lang w:eastAsia="fr-FR"/>
    </w:rPr>
  </w:style>
  <w:style w:type="paragraph" w:styleId="TM9">
    <w:name w:val="toc 9"/>
    <w:basedOn w:val="Normal"/>
    <w:next w:val="Normal"/>
    <w:autoRedefine/>
    <w:uiPriority w:val="39"/>
    <w:unhideWhenUsed/>
    <w:rsid w:val="0002760D"/>
    <w:pPr>
      <w:spacing w:after="100" w:line="276" w:lineRule="auto"/>
      <w:ind w:left="1760"/>
      <w:jc w:val="left"/>
    </w:pPr>
    <w:rPr>
      <w:rFonts w:asciiTheme="minorHAnsi" w:eastAsiaTheme="minorEastAsia" w:hAnsiTheme="minorHAnsi"/>
      <w:lang w:eastAsia="fr-FR"/>
    </w:rPr>
  </w:style>
  <w:style w:type="paragraph" w:styleId="En-tte">
    <w:name w:val="header"/>
    <w:basedOn w:val="Normal"/>
    <w:link w:val="En-tteCar"/>
    <w:unhideWhenUsed/>
    <w:rsid w:val="006B0623"/>
    <w:pPr>
      <w:tabs>
        <w:tab w:val="center" w:pos="4536"/>
        <w:tab w:val="right" w:pos="9072"/>
      </w:tabs>
    </w:pPr>
  </w:style>
  <w:style w:type="character" w:customStyle="1" w:styleId="En-tteCar">
    <w:name w:val="En-tête Car"/>
    <w:basedOn w:val="Policepardfaut"/>
    <w:link w:val="En-tte"/>
    <w:uiPriority w:val="99"/>
    <w:rsid w:val="006B0623"/>
    <w:rPr>
      <w:rFonts w:ascii="Calibri" w:hAnsi="Calibri"/>
    </w:rPr>
  </w:style>
  <w:style w:type="paragraph" w:styleId="Pieddepage">
    <w:name w:val="footer"/>
    <w:basedOn w:val="Normal"/>
    <w:link w:val="PieddepageCar"/>
    <w:unhideWhenUsed/>
    <w:rsid w:val="006B0623"/>
    <w:pPr>
      <w:tabs>
        <w:tab w:val="center" w:pos="4536"/>
        <w:tab w:val="right" w:pos="9072"/>
      </w:tabs>
    </w:pPr>
  </w:style>
  <w:style w:type="character" w:customStyle="1" w:styleId="PieddepageCar">
    <w:name w:val="Pied de page Car"/>
    <w:basedOn w:val="Policepardfaut"/>
    <w:link w:val="Pieddepage"/>
    <w:uiPriority w:val="99"/>
    <w:rsid w:val="006B0623"/>
    <w:rPr>
      <w:rFonts w:ascii="Calibri" w:hAnsi="Calibri"/>
    </w:rPr>
  </w:style>
  <w:style w:type="table" w:styleId="Listeclaire-Accent1">
    <w:name w:val="Light List Accent 1"/>
    <w:basedOn w:val="TableauNormal"/>
    <w:uiPriority w:val="61"/>
    <w:rsid w:val="00CD4EF4"/>
    <w:tblPr>
      <w:tblStyleRowBandSize w:val="1"/>
      <w:tblStyleColBandSize w:val="1"/>
      <w:tblInd w:w="0" w:type="dxa"/>
      <w:tblBorders>
        <w:top w:val="single" w:sz="8" w:space="0" w:color="612C51" w:themeColor="accent1"/>
        <w:left w:val="single" w:sz="8" w:space="0" w:color="612C51" w:themeColor="accent1"/>
        <w:bottom w:val="single" w:sz="8" w:space="0" w:color="612C51" w:themeColor="accent1"/>
        <w:right w:val="single" w:sz="8" w:space="0" w:color="612C51"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612C51" w:themeFill="accent1"/>
      </w:tcPr>
    </w:tblStylePr>
    <w:tblStylePr w:type="lastRow">
      <w:pPr>
        <w:spacing w:before="0" w:after="0" w:line="240" w:lineRule="auto"/>
      </w:pPr>
      <w:rPr>
        <w:b/>
        <w:bCs/>
      </w:rPr>
      <w:tblPr/>
      <w:tcPr>
        <w:tcBorders>
          <w:top w:val="double" w:sz="6" w:space="0" w:color="612C51" w:themeColor="accent1"/>
          <w:left w:val="single" w:sz="8" w:space="0" w:color="612C51" w:themeColor="accent1"/>
          <w:bottom w:val="single" w:sz="8" w:space="0" w:color="612C51" w:themeColor="accent1"/>
          <w:right w:val="single" w:sz="8" w:space="0" w:color="612C51" w:themeColor="accent1"/>
        </w:tcBorders>
      </w:tcPr>
    </w:tblStylePr>
    <w:tblStylePr w:type="firstCol">
      <w:rPr>
        <w:b/>
        <w:bCs/>
      </w:rPr>
    </w:tblStylePr>
    <w:tblStylePr w:type="lastCol">
      <w:rPr>
        <w:b/>
        <w:bCs/>
      </w:rPr>
    </w:tblStylePr>
    <w:tblStylePr w:type="band1Vert">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tblStylePr w:type="band1Horz">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style>
  <w:style w:type="paragraph" w:customStyle="1" w:styleId="Traitplandiff">
    <w:name w:val="Trait plan diff"/>
    <w:basedOn w:val="Normal"/>
    <w:rsid w:val="009B0114"/>
    <w:pPr>
      <w:tabs>
        <w:tab w:val="right" w:leader="underscore" w:pos="9696"/>
      </w:tabs>
      <w:spacing w:before="1000"/>
      <w:jc w:val="left"/>
    </w:pPr>
    <w:rPr>
      <w:rFonts w:ascii="Avant Garde" w:eastAsia="Times New Roman" w:hAnsi="Avant Garde" w:cs="Times New Roman"/>
      <w:sz w:val="20"/>
      <w:szCs w:val="20"/>
      <w:lang w:eastAsia="fr-FR"/>
    </w:rPr>
  </w:style>
  <w:style w:type="paragraph" w:styleId="NormalWeb">
    <w:name w:val="Normal (Web)"/>
    <w:basedOn w:val="Normal"/>
    <w:semiHidden/>
    <w:rsid w:val="009B0114"/>
    <w:pPr>
      <w:spacing w:before="100" w:beforeAutospacing="1" w:after="100" w:afterAutospacing="1"/>
      <w:jc w:val="left"/>
    </w:pPr>
    <w:rPr>
      <w:rFonts w:ascii="Arial Unicode MS" w:eastAsia="Arial Unicode MS" w:hAnsi="Arial Unicode MS" w:cs="Arial Unicode MS"/>
      <w:sz w:val="24"/>
      <w:szCs w:val="24"/>
      <w:lang w:eastAsia="fr-FR"/>
    </w:rPr>
  </w:style>
  <w:style w:type="paragraph" w:styleId="Retraitcorpsdetexte3">
    <w:name w:val="Body Text Indent 3"/>
    <w:basedOn w:val="Normal"/>
    <w:link w:val="Retraitcorpsdetexte3Car"/>
    <w:semiHidden/>
    <w:rsid w:val="009B0114"/>
    <w:pPr>
      <w:ind w:left="567"/>
    </w:pPr>
    <w:rPr>
      <w:rFonts w:ascii="Helvetica" w:eastAsia="Times New Roman" w:hAnsi="Helvetica" w:cs="Times New Roman"/>
      <w:sz w:val="18"/>
      <w:szCs w:val="20"/>
      <w:lang w:eastAsia="fr-FR"/>
    </w:rPr>
  </w:style>
  <w:style w:type="character" w:customStyle="1" w:styleId="Retraitcorpsdetexte3Car">
    <w:name w:val="Retrait corps de texte 3 Car"/>
    <w:basedOn w:val="Policepardfaut"/>
    <w:link w:val="Retraitcorpsdetexte3"/>
    <w:semiHidden/>
    <w:rsid w:val="009B0114"/>
    <w:rPr>
      <w:rFonts w:ascii="Helvetica" w:eastAsia="Times New Roman" w:hAnsi="Helvetica" w:cs="Times New Roman"/>
      <w:sz w:val="18"/>
      <w:szCs w:val="20"/>
      <w:lang w:eastAsia="fr-FR"/>
    </w:rPr>
  </w:style>
  <w:style w:type="paragraph" w:customStyle="1" w:styleId="2-Point111-">
    <w:name w:val="2-Point 111 -"/>
    <w:basedOn w:val="Normal"/>
    <w:rsid w:val="009B0114"/>
    <w:pPr>
      <w:spacing w:before="200" w:after="100"/>
    </w:pPr>
    <w:rPr>
      <w:rFonts w:ascii="AvantGarde" w:eastAsia="Times New Roman" w:hAnsi="AvantGarde" w:cs="Times New Roman"/>
      <w:b/>
      <w:sz w:val="20"/>
      <w:szCs w:val="20"/>
      <w:lang w:eastAsia="fr-FR"/>
    </w:rPr>
  </w:style>
  <w:style w:type="paragraph" w:customStyle="1" w:styleId="Style10">
    <w:name w:val="Style 1"/>
    <w:basedOn w:val="Normal"/>
    <w:uiPriority w:val="99"/>
    <w:rsid w:val="009B0114"/>
    <w:pPr>
      <w:widowControl w:val="0"/>
      <w:autoSpaceDE w:val="0"/>
      <w:autoSpaceDN w:val="0"/>
      <w:adjustRightInd w:val="0"/>
      <w:jc w:val="left"/>
    </w:pPr>
    <w:rPr>
      <w:rFonts w:ascii="Times New Roman" w:eastAsia="Times New Roman" w:hAnsi="Times New Roman" w:cs="Times New Roman"/>
      <w:sz w:val="20"/>
      <w:szCs w:val="20"/>
      <w:lang w:eastAsia="fr-FR"/>
    </w:rPr>
  </w:style>
  <w:style w:type="character" w:customStyle="1" w:styleId="CharacterStyle1">
    <w:name w:val="Character Style 1"/>
    <w:uiPriority w:val="99"/>
    <w:rsid w:val="009B0114"/>
    <w:rPr>
      <w:rFonts w:ascii="Garamond" w:hAnsi="Garamond" w:cs="Garamond"/>
      <w:sz w:val="26"/>
      <w:szCs w:val="26"/>
    </w:rPr>
  </w:style>
  <w:style w:type="paragraph" w:customStyle="1" w:styleId="Style30">
    <w:name w:val="Style 3"/>
    <w:basedOn w:val="Normal"/>
    <w:rsid w:val="009B0114"/>
    <w:pPr>
      <w:widowControl w:val="0"/>
      <w:autoSpaceDE w:val="0"/>
      <w:autoSpaceDN w:val="0"/>
      <w:spacing w:before="72"/>
      <w:ind w:left="576"/>
      <w:jc w:val="left"/>
    </w:pPr>
    <w:rPr>
      <w:rFonts w:ascii="Times New Roman" w:eastAsia="Times New Roman" w:hAnsi="Times New Roman" w:cs="Times New Roman"/>
      <w:sz w:val="23"/>
      <w:szCs w:val="23"/>
      <w:lang w:eastAsia="fr-FR"/>
    </w:rPr>
  </w:style>
  <w:style w:type="character" w:customStyle="1" w:styleId="CharacterStyle3">
    <w:name w:val="Character Style 3"/>
    <w:rsid w:val="009B0114"/>
    <w:rPr>
      <w:sz w:val="23"/>
      <w:szCs w:val="23"/>
    </w:rPr>
  </w:style>
  <w:style w:type="character" w:styleId="Numrodepage">
    <w:name w:val="page number"/>
    <w:basedOn w:val="Policepardfaut"/>
    <w:rsid w:val="009B0114"/>
  </w:style>
  <w:style w:type="table" w:styleId="Grilledutableau">
    <w:name w:val="Table Grid"/>
    <w:basedOn w:val="TableauNormal"/>
    <w:uiPriority w:val="59"/>
    <w:rsid w:val="009B01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0">
    <w:name w:val="Style 2"/>
    <w:basedOn w:val="Normal"/>
    <w:uiPriority w:val="99"/>
    <w:rsid w:val="009B0114"/>
    <w:pPr>
      <w:widowControl w:val="0"/>
      <w:autoSpaceDE w:val="0"/>
      <w:autoSpaceDN w:val="0"/>
      <w:ind w:left="36"/>
      <w:jc w:val="left"/>
    </w:pPr>
    <w:rPr>
      <w:rFonts w:ascii="Tahoma" w:eastAsiaTheme="minorEastAsia" w:hAnsi="Tahoma" w:cs="Tahoma"/>
      <w:sz w:val="10"/>
      <w:szCs w:val="10"/>
      <w:lang w:eastAsia="fr-FR"/>
    </w:rPr>
  </w:style>
  <w:style w:type="character" w:customStyle="1" w:styleId="CharacterStyle2">
    <w:name w:val="Character Style 2"/>
    <w:uiPriority w:val="99"/>
    <w:rsid w:val="009B011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764433">
      <w:bodyDiv w:val="1"/>
      <w:marLeft w:val="0"/>
      <w:marRight w:val="0"/>
      <w:marTop w:val="0"/>
      <w:marBottom w:val="0"/>
      <w:divBdr>
        <w:top w:val="none" w:sz="0" w:space="0" w:color="auto"/>
        <w:left w:val="none" w:sz="0" w:space="0" w:color="auto"/>
        <w:bottom w:val="none" w:sz="0" w:space="0" w:color="auto"/>
        <w:right w:val="none" w:sz="0" w:space="0" w:color="auto"/>
      </w:divBdr>
    </w:div>
    <w:div w:id="1187790386">
      <w:bodyDiv w:val="1"/>
      <w:marLeft w:val="0"/>
      <w:marRight w:val="0"/>
      <w:marTop w:val="0"/>
      <w:marBottom w:val="0"/>
      <w:divBdr>
        <w:top w:val="none" w:sz="0" w:space="0" w:color="auto"/>
        <w:left w:val="none" w:sz="0" w:space="0" w:color="auto"/>
        <w:bottom w:val="none" w:sz="0" w:space="0" w:color="auto"/>
        <w:right w:val="none" w:sz="0" w:space="0" w:color="auto"/>
      </w:divBdr>
    </w:div>
    <w:div w:id="1204095449">
      <w:bodyDiv w:val="1"/>
      <w:marLeft w:val="0"/>
      <w:marRight w:val="0"/>
      <w:marTop w:val="0"/>
      <w:marBottom w:val="0"/>
      <w:divBdr>
        <w:top w:val="none" w:sz="0" w:space="0" w:color="auto"/>
        <w:left w:val="none" w:sz="0" w:space="0" w:color="auto"/>
        <w:bottom w:val="none" w:sz="0" w:space="0" w:color="auto"/>
        <w:right w:val="none" w:sz="0" w:space="0" w:color="auto"/>
      </w:divBdr>
    </w:div>
    <w:div w:id="1772624163">
      <w:bodyDiv w:val="1"/>
      <w:marLeft w:val="0"/>
      <w:marRight w:val="0"/>
      <w:marTop w:val="0"/>
      <w:marBottom w:val="0"/>
      <w:divBdr>
        <w:top w:val="none" w:sz="0" w:space="0" w:color="auto"/>
        <w:left w:val="none" w:sz="0" w:space="0" w:color="auto"/>
        <w:bottom w:val="none" w:sz="0" w:space="0" w:color="auto"/>
        <w:right w:val="none" w:sz="0" w:space="0" w:color="auto"/>
      </w:divBdr>
    </w:div>
    <w:div w:id="1934775338">
      <w:bodyDiv w:val="1"/>
      <w:marLeft w:val="0"/>
      <w:marRight w:val="0"/>
      <w:marTop w:val="0"/>
      <w:marBottom w:val="0"/>
      <w:divBdr>
        <w:top w:val="none" w:sz="0" w:space="0" w:color="auto"/>
        <w:left w:val="none" w:sz="0" w:space="0" w:color="auto"/>
        <w:bottom w:val="none" w:sz="0" w:space="0" w:color="auto"/>
        <w:right w:val="none" w:sz="0" w:space="0" w:color="auto"/>
      </w:divBdr>
    </w:div>
    <w:div w:id="202219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mf-france.org/documents/general/9596_1.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ESSAI CAC">
  <a:themeElements>
    <a:clrScheme name="ATH2016">
      <a:dk1>
        <a:sysClr val="windowText" lastClr="000000"/>
      </a:dk1>
      <a:lt1>
        <a:sysClr val="window" lastClr="FFFFFF"/>
      </a:lt1>
      <a:dk2>
        <a:srgbClr val="666666"/>
      </a:dk2>
      <a:lt2>
        <a:srgbClr val="D2D2D2"/>
      </a:lt2>
      <a:accent1>
        <a:srgbClr val="612C51"/>
      </a:accent1>
      <a:accent2>
        <a:srgbClr val="B06C96"/>
      </a:accent2>
      <a:accent3>
        <a:srgbClr val="9C007F"/>
      </a:accent3>
      <a:accent4>
        <a:srgbClr val="4A3041"/>
      </a:accent4>
      <a:accent5>
        <a:srgbClr val="004096"/>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2015-02-01T00:00:00</PublishDate>
  <Abstract>Marché Alternext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C32A3A6-D062-4FF6-A587-6770C4152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8810</Words>
  <Characters>48458</Characters>
  <Application>Microsoft Office Word</Application>
  <DocSecurity>0</DocSecurity>
  <Lines>403</Lines>
  <Paragraphs>114</Paragraphs>
  <ScaleCrop>false</ScaleCrop>
  <HeadingPairs>
    <vt:vector size="2" baseType="variant">
      <vt:variant>
        <vt:lpstr>Titre</vt:lpstr>
      </vt:variant>
      <vt:variant>
        <vt:i4>1</vt:i4>
      </vt:variant>
    </vt:vector>
  </HeadingPairs>
  <TitlesOfParts>
    <vt:vector size="1" baseType="lpstr">
      <vt:lpstr>Chapitre 24</vt:lpstr>
    </vt:vector>
  </TitlesOfParts>
  <Company>Microsoft</Company>
  <LinksUpToDate>false</LinksUpToDate>
  <CharactersWithSpaces>57154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2420</dc:title>
  <dc:creator>ATH</dc:creator>
  <cp:lastModifiedBy>Martine MICHEL</cp:lastModifiedBy>
  <cp:revision>3</cp:revision>
  <cp:lastPrinted>2016-05-25T09:36:00Z</cp:lastPrinted>
  <dcterms:created xsi:type="dcterms:W3CDTF">2016-05-30T14:52:00Z</dcterms:created>
  <dcterms:modified xsi:type="dcterms:W3CDTF">2016-05-30T14:56:00Z</dcterms:modified>
</cp:coreProperties>
</file>